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2D3B1" w14:textId="50E8AF92" w:rsidR="00AB6071" w:rsidRDefault="00465BA9">
      <w:r>
        <w:t>Critical care</w:t>
      </w:r>
      <w:r w:rsidR="00C54F8D">
        <w:t xml:space="preserve"> Instructors guide</w:t>
      </w:r>
      <w:r>
        <w:t>:</w:t>
      </w:r>
    </w:p>
    <w:p w14:paraId="1AA24E06" w14:textId="5AE420B4" w:rsidR="00465BA9" w:rsidRPr="006E51CD" w:rsidRDefault="006E51CD">
      <w:pPr>
        <w:rPr>
          <w:b/>
          <w:bCs/>
        </w:rPr>
      </w:pPr>
      <w:r>
        <w:br/>
      </w:r>
      <w:r w:rsidRPr="006E51CD">
        <w:rPr>
          <w:b/>
          <w:bCs/>
        </w:rPr>
        <w:t>Background:</w:t>
      </w:r>
    </w:p>
    <w:p w14:paraId="73F9241B" w14:textId="501C8111" w:rsidR="006E51CD" w:rsidRDefault="006E51CD">
      <w:r>
        <w:t xml:space="preserve">Critical care is a time-based service and billed a bit differently than the typical E/M Level 1-5 charts. For coding purposes, critical illness or injury is defined as “an illness or injury that acutely impairs one or more vital systems such </w:t>
      </w:r>
      <w:r w:rsidRPr="006E51CD">
        <w:t xml:space="preserve">that there is a high probability of imminent or </w:t>
      </w:r>
      <w:r w:rsidR="00093015" w:rsidRPr="006E51CD">
        <w:t>life-threatening</w:t>
      </w:r>
      <w:r w:rsidRPr="006E51CD">
        <w:t xml:space="preserve"> deterioration in the patient's condition.</w:t>
      </w:r>
      <w:r>
        <w:t>”</w:t>
      </w:r>
      <w:r w:rsidR="00F12803">
        <w:t xml:space="preserve"> In addition, CMS adds </w:t>
      </w:r>
      <w:r w:rsidR="00F12803" w:rsidRPr="006E51CD">
        <w:t xml:space="preserve">"the failure to initiate these interventions on an urgent basis would likely result in sudden, clinically significant or </w:t>
      </w:r>
      <w:r w:rsidR="00093015" w:rsidRPr="006E51CD">
        <w:t>life-threatening</w:t>
      </w:r>
      <w:r w:rsidR="00F12803" w:rsidRPr="006E51CD">
        <w:t xml:space="preserve"> deterioration in the patient's condition."</w:t>
      </w:r>
    </w:p>
    <w:p w14:paraId="3B56CA5B" w14:textId="0B9DD8FB" w:rsidR="006E51CD" w:rsidRDefault="006E51CD"/>
    <w:p w14:paraId="4199D972" w14:textId="749E8C32" w:rsidR="006E51CD" w:rsidRPr="006E51CD" w:rsidRDefault="006E51CD">
      <w:pPr>
        <w:rPr>
          <w:b/>
          <w:bCs/>
        </w:rPr>
      </w:pPr>
      <w:r w:rsidRPr="006E51CD">
        <w:rPr>
          <w:b/>
          <w:bCs/>
        </w:rPr>
        <w:t>Purpose and Goals:</w:t>
      </w:r>
    </w:p>
    <w:p w14:paraId="2448723D" w14:textId="3B7B8442" w:rsidR="006E51CD" w:rsidRDefault="00DA4965" w:rsidP="00DA4965">
      <w:r>
        <w:t>To provide a general overview of critical care coding and billing in the emergency department.</w:t>
      </w:r>
    </w:p>
    <w:p w14:paraId="0E71B5F7" w14:textId="3B5E7908" w:rsidR="006E51CD" w:rsidRDefault="006E51CD"/>
    <w:p w14:paraId="32560501" w14:textId="05AD60C0" w:rsidR="006E51CD" w:rsidRPr="006E51CD" w:rsidRDefault="006E51CD">
      <w:pPr>
        <w:rPr>
          <w:b/>
          <w:bCs/>
        </w:rPr>
      </w:pPr>
      <w:r w:rsidRPr="006E51CD">
        <w:rPr>
          <w:b/>
          <w:bCs/>
        </w:rPr>
        <w:t>Educational Objectives:</w:t>
      </w:r>
    </w:p>
    <w:p w14:paraId="104D6864" w14:textId="77777777" w:rsidR="00DA4965" w:rsidRDefault="00DA4965" w:rsidP="00DA4965">
      <w:r>
        <w:t xml:space="preserve">Understand key elements of documentation needed to bill for critical care. </w:t>
      </w:r>
    </w:p>
    <w:p w14:paraId="02C59D66" w14:textId="77608F77" w:rsidR="00DA4965" w:rsidRDefault="00DA4965" w:rsidP="00DA4965"/>
    <w:p w14:paraId="17CF427D" w14:textId="278FD420" w:rsidR="006E51CD" w:rsidRDefault="00DA4965" w:rsidP="00DA4965">
      <w:r>
        <w:t>Review requirements necessary in the ED chart to bill for critical care time in the emergency department</w:t>
      </w:r>
    </w:p>
    <w:p w14:paraId="444FAA6A" w14:textId="77777777" w:rsidR="00DA4965" w:rsidRDefault="00DA4965" w:rsidP="00DA4965"/>
    <w:p w14:paraId="08C26740" w14:textId="77777777" w:rsidR="006E51CD" w:rsidRPr="006E51CD" w:rsidRDefault="006E51CD" w:rsidP="006E51CD">
      <w:pPr>
        <w:rPr>
          <w:b/>
          <w:bCs/>
        </w:rPr>
      </w:pPr>
      <w:r w:rsidRPr="006E51CD">
        <w:rPr>
          <w:b/>
          <w:bCs/>
        </w:rPr>
        <w:t>RESOURCE FILES:</w:t>
      </w:r>
    </w:p>
    <w:p w14:paraId="60699DDD" w14:textId="7F3B6BAC" w:rsidR="006E51CD" w:rsidRDefault="006E51CD" w:rsidP="006E51CD"/>
    <w:p w14:paraId="4B12F9DA" w14:textId="5A5E0C92" w:rsidR="00C40416" w:rsidRDefault="00C40416" w:rsidP="00C40416">
      <w:r>
        <w:t>1. Critical care coding and billing didactic</w:t>
      </w:r>
    </w:p>
    <w:p w14:paraId="3207F77D" w14:textId="651528B6" w:rsidR="00C40416" w:rsidRDefault="00C40416" w:rsidP="00C40416">
      <w:pPr>
        <w:ind w:firstLine="720"/>
      </w:pPr>
      <w:r>
        <w:t>a. This didactic provides an overview of critical care coding and billing in the emergency</w:t>
      </w:r>
    </w:p>
    <w:p w14:paraId="76AE4156" w14:textId="77777777" w:rsidR="00C40416" w:rsidRDefault="00C40416" w:rsidP="00C40416">
      <w:r>
        <w:t>department</w:t>
      </w:r>
    </w:p>
    <w:p w14:paraId="419D1283" w14:textId="77777777" w:rsidR="00C40416" w:rsidRDefault="00C40416" w:rsidP="00C40416"/>
    <w:p w14:paraId="1CF47EF6" w14:textId="77C7A8A1" w:rsidR="00C40416" w:rsidRDefault="00C40416" w:rsidP="00C40416">
      <w:r>
        <w:t>2. Summary Handout:</w:t>
      </w:r>
    </w:p>
    <w:p w14:paraId="30EB9D15" w14:textId="4CF5092E" w:rsidR="00C40416" w:rsidRDefault="00C40416" w:rsidP="00C40416">
      <w:pPr>
        <w:ind w:firstLine="720"/>
      </w:pPr>
      <w:r>
        <w:t xml:space="preserve">a. </w:t>
      </w:r>
    </w:p>
    <w:p w14:paraId="6AB7545E" w14:textId="41DC0654" w:rsidR="00C40416" w:rsidRDefault="00C40416" w:rsidP="00C40416">
      <w:pPr>
        <w:ind w:firstLine="720"/>
      </w:pPr>
      <w:r>
        <w:t xml:space="preserve">This document from </w:t>
      </w:r>
      <w:proofErr w:type="spellStart"/>
      <w:r>
        <w:t>ALiEM</w:t>
      </w:r>
      <w:proofErr w:type="spellEnd"/>
      <w:r>
        <w:t xml:space="preserve"> is a clear concise summary of the teaching points</w:t>
      </w:r>
    </w:p>
    <w:p w14:paraId="162C9269" w14:textId="77777777" w:rsidR="00C40416" w:rsidRDefault="00C40416" w:rsidP="00C40416">
      <w:r>
        <w:t>from the didactics that learners can use as a reference tool while on shift in real</w:t>
      </w:r>
    </w:p>
    <w:p w14:paraId="259E955B" w14:textId="46F98E13" w:rsidR="00C40416" w:rsidRDefault="00C40416" w:rsidP="00C40416">
      <w:r>
        <w:t>time.</w:t>
      </w:r>
    </w:p>
    <w:p w14:paraId="2AB1BA0E" w14:textId="77777777" w:rsidR="00C40416" w:rsidRDefault="00C40416" w:rsidP="006E51CD"/>
    <w:p w14:paraId="4EDA180D" w14:textId="4CC9110D" w:rsidR="006E51CD" w:rsidRDefault="006E51CD" w:rsidP="006E51CD">
      <w:r w:rsidRPr="006E51CD">
        <w:rPr>
          <w:b/>
          <w:bCs/>
        </w:rPr>
        <w:t>TOTAL MODULE DURATION:</w:t>
      </w:r>
      <w:r>
        <w:t xml:space="preserve"> </w:t>
      </w:r>
      <w:r w:rsidR="006C2CF9">
        <w:t>3</w:t>
      </w:r>
      <w:r>
        <w:t>0 minutes</w:t>
      </w:r>
    </w:p>
    <w:p w14:paraId="2C2BA01B" w14:textId="77777777" w:rsidR="006E51CD" w:rsidRDefault="006E51CD" w:rsidP="006E51CD">
      <w:pPr>
        <w:rPr>
          <w:b/>
          <w:bCs/>
        </w:rPr>
      </w:pPr>
    </w:p>
    <w:p w14:paraId="1FD992BA" w14:textId="2B0CFBFB" w:rsidR="006E51CD" w:rsidRPr="006E51CD" w:rsidRDefault="006E51CD" w:rsidP="006E51CD">
      <w:pPr>
        <w:rPr>
          <w:b/>
          <w:bCs/>
        </w:rPr>
      </w:pPr>
      <w:r w:rsidRPr="006E51CD">
        <w:rPr>
          <w:b/>
          <w:bCs/>
        </w:rPr>
        <w:t>REQUIRED RESOURCES:</w:t>
      </w:r>
    </w:p>
    <w:p w14:paraId="78DEA18A" w14:textId="77777777" w:rsidR="006E51CD" w:rsidRDefault="006E51CD" w:rsidP="006E51CD">
      <w:r>
        <w:t>- Computer with capability of running PowerPoint</w:t>
      </w:r>
    </w:p>
    <w:p w14:paraId="1122D098" w14:textId="77777777" w:rsidR="006E51CD" w:rsidRDefault="006E51CD" w:rsidP="006E51CD"/>
    <w:p w14:paraId="0FE81F46" w14:textId="6684D66C" w:rsidR="006E51CD" w:rsidRPr="006E51CD" w:rsidRDefault="006E51CD" w:rsidP="006E51CD">
      <w:pPr>
        <w:rPr>
          <w:b/>
          <w:bCs/>
        </w:rPr>
      </w:pPr>
      <w:r w:rsidRPr="006E51CD">
        <w:rPr>
          <w:b/>
          <w:bCs/>
        </w:rPr>
        <w:t>DESCRIPTION OF MODULE:</w:t>
      </w:r>
    </w:p>
    <w:p w14:paraId="570488E2" w14:textId="77777777" w:rsidR="006E51CD" w:rsidRDefault="006E51CD" w:rsidP="006E51CD">
      <w:r>
        <w:t>Intended Audience</w:t>
      </w:r>
    </w:p>
    <w:p w14:paraId="640438BD" w14:textId="77777777" w:rsidR="006E51CD" w:rsidRDefault="006E51CD" w:rsidP="006E51CD">
      <w:r>
        <w:t>- This module was developed for medical students, EM residents at any level of training,</w:t>
      </w:r>
    </w:p>
    <w:p w14:paraId="1101A76B" w14:textId="77777777" w:rsidR="006E51CD" w:rsidRDefault="006E51CD" w:rsidP="006E51CD">
      <w:r>
        <w:t>and attending physicians</w:t>
      </w:r>
    </w:p>
    <w:p w14:paraId="123769E9" w14:textId="77777777" w:rsidR="006E51CD" w:rsidRDefault="006E51CD" w:rsidP="006E51CD"/>
    <w:p w14:paraId="26D74494" w14:textId="14B5B726" w:rsidR="006E51CD" w:rsidRDefault="006E51CD" w:rsidP="006E51CD">
      <w:pPr>
        <w:rPr>
          <w:b/>
          <w:bCs/>
        </w:rPr>
      </w:pPr>
      <w:r w:rsidRPr="006E51CD">
        <w:rPr>
          <w:b/>
          <w:bCs/>
        </w:rPr>
        <w:t>Pre-reading</w:t>
      </w:r>
    </w:p>
    <w:p w14:paraId="0FA27F15" w14:textId="01ABF1C0" w:rsidR="00C40416" w:rsidRPr="00C40416" w:rsidRDefault="00C40416" w:rsidP="00C40416">
      <w:r w:rsidRPr="00C40416">
        <w:t>ACEP Critical Care FAQ</w:t>
      </w:r>
      <w:r>
        <w:t xml:space="preserve"> </w:t>
      </w:r>
      <w:hyperlink r:id="rId5" w:anchor="question0" w:history="1">
        <w:r w:rsidRPr="004B5134">
          <w:rPr>
            <w:rStyle w:val="Hyperlink"/>
          </w:rPr>
          <w:t>https://www.acep.org/administration/reimbursement/reimbursement-faqs/critical-care-faq/#question0</w:t>
        </w:r>
      </w:hyperlink>
      <w:r>
        <w:t xml:space="preserve"> accessed on 8/19/2020</w:t>
      </w:r>
    </w:p>
    <w:p w14:paraId="1A3FE095" w14:textId="77777777" w:rsidR="00C40416" w:rsidRPr="006E51CD" w:rsidRDefault="00C40416" w:rsidP="006E51CD">
      <w:pPr>
        <w:rPr>
          <w:b/>
          <w:bCs/>
        </w:rPr>
      </w:pPr>
    </w:p>
    <w:p w14:paraId="048A85A0" w14:textId="42A700C1" w:rsidR="00C40416" w:rsidRPr="00C40416" w:rsidRDefault="00C40416" w:rsidP="00C40416">
      <w:r w:rsidRPr="00C40416">
        <w:t>Academic Life in Emergency Medicine – “ED Charting and Coding: Critical Care Time”</w:t>
      </w:r>
    </w:p>
    <w:p w14:paraId="197C5213" w14:textId="06B97B24" w:rsidR="006E51CD" w:rsidRDefault="001550DD">
      <w:hyperlink r:id="rId6" w:history="1">
        <w:r w:rsidR="00C40416" w:rsidRPr="004B5134">
          <w:rPr>
            <w:rStyle w:val="Hyperlink"/>
          </w:rPr>
          <w:t>https://www.aliem.com/charting-coding-critical-care-time/</w:t>
        </w:r>
      </w:hyperlink>
      <w:r w:rsidR="00C40416">
        <w:t xml:space="preserve"> (accessed 8/19/2020)</w:t>
      </w:r>
    </w:p>
    <w:p w14:paraId="63A1D54D" w14:textId="77777777" w:rsidR="00C54F8D" w:rsidRDefault="00C54F8D" w:rsidP="006E51CD">
      <w:pPr>
        <w:rPr>
          <w:b/>
          <w:bCs/>
        </w:rPr>
      </w:pPr>
    </w:p>
    <w:p w14:paraId="6A24EB21" w14:textId="45D6FC82" w:rsidR="006E51CD" w:rsidRPr="006E51CD" w:rsidRDefault="006E51CD" w:rsidP="006E51CD">
      <w:pPr>
        <w:rPr>
          <w:b/>
          <w:bCs/>
        </w:rPr>
      </w:pPr>
      <w:r w:rsidRPr="006E51CD">
        <w:rPr>
          <w:b/>
          <w:bCs/>
        </w:rPr>
        <w:t>Recommended implementation/timeline</w:t>
      </w:r>
    </w:p>
    <w:p w14:paraId="255D34B8" w14:textId="77777777" w:rsidR="006E51CD" w:rsidRPr="006E51CD" w:rsidRDefault="006E51CD" w:rsidP="006E51CD">
      <w:pPr>
        <w:rPr>
          <w:b/>
          <w:bCs/>
        </w:rPr>
      </w:pPr>
      <w:r w:rsidRPr="006E51CD">
        <w:rPr>
          <w:b/>
          <w:bCs/>
        </w:rPr>
        <w:t>- Pre-module</w:t>
      </w:r>
    </w:p>
    <w:p w14:paraId="03BC479F" w14:textId="3297DF63" w:rsidR="006E51CD" w:rsidRDefault="006E51CD" w:rsidP="006E51CD">
      <w:r>
        <w:t>Prior to attending the didactic session, the pre-reading should be provided to the</w:t>
      </w:r>
    </w:p>
    <w:p w14:paraId="69144AE4" w14:textId="77777777" w:rsidR="006E51CD" w:rsidRDefault="006E51CD" w:rsidP="006E51CD">
      <w:r>
        <w:t>learners in order to allow them the chance to introduce themselves to the topic</w:t>
      </w:r>
    </w:p>
    <w:p w14:paraId="4A8A0C81" w14:textId="4CDCA441" w:rsidR="006E51CD" w:rsidRDefault="006E51CD" w:rsidP="006E51CD">
      <w:r>
        <w:t>of critical care billing prior to the session.</w:t>
      </w:r>
    </w:p>
    <w:p w14:paraId="2D0E9E7C" w14:textId="77777777" w:rsidR="006E51CD" w:rsidRDefault="006E51CD" w:rsidP="006E51CD"/>
    <w:p w14:paraId="24E2CAEC" w14:textId="77777777" w:rsidR="006E51CD" w:rsidRDefault="006E51CD" w:rsidP="006E51CD">
      <w:r>
        <w:t xml:space="preserve">- </w:t>
      </w:r>
      <w:r w:rsidRPr="006E51CD">
        <w:rPr>
          <w:b/>
          <w:bCs/>
        </w:rPr>
        <w:t>During the module</w:t>
      </w:r>
    </w:p>
    <w:p w14:paraId="3CE146A6" w14:textId="4B06CFA5" w:rsidR="006E51CD" w:rsidRDefault="006E51CD" w:rsidP="006E51CD">
      <w:r>
        <w:t>Critical Care Didactic presented by a senior resident or faculty member. (60 minutes)</w:t>
      </w:r>
    </w:p>
    <w:p w14:paraId="29601111" w14:textId="77777777" w:rsidR="006E51CD" w:rsidRPr="006E51CD" w:rsidRDefault="006E51CD" w:rsidP="006E51CD">
      <w:pPr>
        <w:rPr>
          <w:b/>
          <w:bCs/>
        </w:rPr>
      </w:pPr>
    </w:p>
    <w:p w14:paraId="657B8CF2" w14:textId="77777777" w:rsidR="006E51CD" w:rsidRDefault="006E51CD" w:rsidP="006E51CD">
      <w:r w:rsidRPr="006E51CD">
        <w:rPr>
          <w:b/>
          <w:bCs/>
        </w:rPr>
        <w:t>CONCLUSIONS</w:t>
      </w:r>
      <w:r>
        <w:t>:</w:t>
      </w:r>
    </w:p>
    <w:p w14:paraId="38844EDC" w14:textId="4DAD97A5" w:rsidR="00C54F8D" w:rsidRDefault="00C54F8D" w:rsidP="006E51CD">
      <w:r>
        <w:t xml:space="preserve">Emergency medicine residents are expected to manage critically ill patients and part of that training includes being able to document the care rendered and the patient’s condition appropriately to allow for correct critical care billing. This module was developed to help train emergency medicine residents on the basics of critical care billing and coding. After completion of this module, learners will better understand the requirements of critical care billing and coding, what components are included and which are billed separately and what specific information is expected in the chart to indicate the patient was critically ill, helping them practice independently as emergency medicine physicians in the future. </w:t>
      </w:r>
    </w:p>
    <w:p w14:paraId="5156CD29" w14:textId="0A097C62" w:rsidR="006E51CD" w:rsidRDefault="006E51CD" w:rsidP="006E51CD"/>
    <w:p w14:paraId="28F570F4" w14:textId="77777777" w:rsidR="006E51CD" w:rsidRDefault="006E51CD" w:rsidP="006E51CD"/>
    <w:p w14:paraId="3A27FC76" w14:textId="6AFB00B4" w:rsidR="006E51CD" w:rsidRDefault="006E51CD" w:rsidP="006E51CD">
      <w:pPr>
        <w:rPr>
          <w:b/>
          <w:bCs/>
        </w:rPr>
      </w:pPr>
      <w:r w:rsidRPr="006E51CD">
        <w:rPr>
          <w:b/>
          <w:bCs/>
        </w:rPr>
        <w:t>REFERENCES:</w:t>
      </w:r>
    </w:p>
    <w:p w14:paraId="12E40F68" w14:textId="33D9D3E0" w:rsidR="00A51229" w:rsidRPr="00A51229" w:rsidRDefault="00A51229" w:rsidP="00A51229">
      <w:r w:rsidRPr="00A51229">
        <w:t>Critical Care Services</w:t>
      </w:r>
      <w:r>
        <w:t xml:space="preserve">: </w:t>
      </w:r>
      <w:r w:rsidRPr="00A51229">
        <w:t>Guidelines for Use of Critical Care Codes (CPT codes 99291 and 99292)</w:t>
      </w:r>
    </w:p>
    <w:p w14:paraId="429FD1FE" w14:textId="4C8BD900" w:rsidR="006E51CD" w:rsidRDefault="00A51229" w:rsidP="006E51CD">
      <w:r>
        <w:fldChar w:fldCharType="begin"/>
      </w:r>
      <w:r>
        <w:instrText xml:space="preserve"> HYPERLINK "</w:instrText>
      </w:r>
      <w:r w:rsidRPr="00A51229">
        <w:instrText>https://cgsmedicare.com/partb/pubs/news/2020/05/cope17364.html</w:instrText>
      </w:r>
      <w:r>
        <w:instrText xml:space="preserve">" </w:instrText>
      </w:r>
      <w:r>
        <w:fldChar w:fldCharType="separate"/>
      </w:r>
      <w:r w:rsidRPr="004B5134">
        <w:rPr>
          <w:rStyle w:val="Hyperlink"/>
        </w:rPr>
        <w:t>https://cgsmedicare.com/partb/pubs/news/2020/05/cope17364.html</w:t>
      </w:r>
      <w:r>
        <w:fldChar w:fldCharType="end"/>
      </w:r>
      <w:r w:rsidRPr="00A51229">
        <w:t xml:space="preserve"> (accessed 8/24/2020)</w:t>
      </w:r>
    </w:p>
    <w:p w14:paraId="0BAB2D2F" w14:textId="45380FD5" w:rsidR="001550DD" w:rsidRDefault="001550DD" w:rsidP="006E51CD"/>
    <w:p w14:paraId="2472D93B" w14:textId="77777777" w:rsidR="001550DD" w:rsidRPr="001550DD" w:rsidRDefault="001550DD" w:rsidP="001550DD">
      <w:r w:rsidRPr="001550DD">
        <w:t>2018 National Physician Fee Schedule Relative Value File, GPCI18, National Physician Fee Schedule Relative Value File Calendar Year 2018, MCR-MUE-Practitioner Services Published by CMS. Effective: April 1, 2018.</w:t>
      </w:r>
    </w:p>
    <w:p w14:paraId="2F8ADC35" w14:textId="77777777" w:rsidR="001550DD" w:rsidRDefault="001550DD" w:rsidP="001550DD"/>
    <w:p w14:paraId="650465E7" w14:textId="10D0A65C" w:rsidR="001550DD" w:rsidRPr="001550DD" w:rsidRDefault="001550DD" w:rsidP="001550DD">
      <w:r w:rsidRPr="001550DD">
        <w:t>CMS – 2016 Medicare Utilization Data by Specialty 93 – National: For Claims Processed with 2016 Dates of Service filed by June 30, 2017</w:t>
      </w:r>
    </w:p>
    <w:p w14:paraId="02BD3635" w14:textId="77777777" w:rsidR="001550DD" w:rsidRDefault="001550DD" w:rsidP="001550DD"/>
    <w:p w14:paraId="74C634F8" w14:textId="379BF134" w:rsidR="001550DD" w:rsidRPr="001550DD" w:rsidRDefault="001550DD" w:rsidP="001550DD">
      <w:hyperlink r:id="rId7" w:history="1">
        <w:r w:rsidRPr="001550DD">
          <w:rPr>
            <w:rStyle w:val="Hyperlink"/>
          </w:rPr>
          <w:t>https://www.aliem.com/charting-coding-critical-care-time/</w:t>
        </w:r>
      </w:hyperlink>
      <w:r w:rsidRPr="001550DD">
        <w:t xml:space="preserve"> (accessed 8/24/2020)</w:t>
      </w:r>
    </w:p>
    <w:p w14:paraId="1CBC54D5" w14:textId="77777777" w:rsidR="001550DD" w:rsidRDefault="001550DD" w:rsidP="001550DD"/>
    <w:p w14:paraId="72EAF711" w14:textId="13C3A886" w:rsidR="001550DD" w:rsidRPr="001550DD" w:rsidRDefault="001550DD" w:rsidP="001550DD">
      <w:hyperlink r:id="rId8" w:history="1">
        <w:r w:rsidRPr="001550DD">
          <w:rPr>
            <w:rStyle w:val="Hyperlink"/>
          </w:rPr>
          <w:t>https://www.acep.org/administration/reimbursement/reimbursement-faqs/critical-care-faq/#question0</w:t>
        </w:r>
      </w:hyperlink>
      <w:r w:rsidRPr="001550DD">
        <w:t xml:space="preserve"> (accessed 8/24/2020)</w:t>
      </w:r>
    </w:p>
    <w:p w14:paraId="2726941B" w14:textId="77777777" w:rsidR="001550DD" w:rsidRDefault="001550DD" w:rsidP="001550DD"/>
    <w:p w14:paraId="3B153373" w14:textId="469F433A" w:rsidR="001550DD" w:rsidRPr="001550DD" w:rsidRDefault="001550DD" w:rsidP="001550DD">
      <w:hyperlink r:id="rId9" w:history="1">
        <w:r w:rsidRPr="001550DD">
          <w:rPr>
            <w:rStyle w:val="Hyperlink"/>
          </w:rPr>
          <w:t>https://www.cgsmedicare.com/partb/mr/pdf/critical_care_fact_sheet.pdf</w:t>
        </w:r>
      </w:hyperlink>
      <w:r w:rsidRPr="001550DD">
        <w:t xml:space="preserve"> (accessed 8/24/2020)</w:t>
      </w:r>
    </w:p>
    <w:p w14:paraId="37638863" w14:textId="0B32518D" w:rsidR="001550DD" w:rsidRPr="001550DD" w:rsidRDefault="001550DD" w:rsidP="001550DD">
      <w:hyperlink r:id="rId10" w:history="1">
        <w:r w:rsidRPr="001550DD">
          <w:rPr>
            <w:rStyle w:val="Hyperlink"/>
          </w:rPr>
          <w:t>https://cgsmedicare.com/partb/pubs/news/2020/05/cope17364.html</w:t>
        </w:r>
      </w:hyperlink>
      <w:r w:rsidRPr="001550DD">
        <w:t xml:space="preserve"> (accessed 8/24/2020)</w:t>
      </w:r>
    </w:p>
    <w:p w14:paraId="510A6EC8" w14:textId="77777777" w:rsidR="001550DD" w:rsidRPr="00A51229" w:rsidRDefault="001550DD" w:rsidP="006E51CD"/>
    <w:sectPr w:rsidR="001550DD" w:rsidRPr="00A51229" w:rsidSect="00CD6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A7E97"/>
    <w:multiLevelType w:val="hybridMultilevel"/>
    <w:tmpl w:val="5EE4B9C8"/>
    <w:lvl w:ilvl="0" w:tplc="BF140FA8">
      <w:start w:val="1"/>
      <w:numFmt w:val="bullet"/>
      <w:lvlText w:val="•"/>
      <w:lvlJc w:val="left"/>
      <w:pPr>
        <w:tabs>
          <w:tab w:val="num" w:pos="720"/>
        </w:tabs>
        <w:ind w:left="720" w:hanging="360"/>
      </w:pPr>
      <w:rPr>
        <w:rFonts w:ascii="Arial" w:hAnsi="Arial" w:hint="default"/>
      </w:rPr>
    </w:lvl>
    <w:lvl w:ilvl="1" w:tplc="1ACC8E44" w:tentative="1">
      <w:start w:val="1"/>
      <w:numFmt w:val="bullet"/>
      <w:lvlText w:val="•"/>
      <w:lvlJc w:val="left"/>
      <w:pPr>
        <w:tabs>
          <w:tab w:val="num" w:pos="1440"/>
        </w:tabs>
        <w:ind w:left="1440" w:hanging="360"/>
      </w:pPr>
      <w:rPr>
        <w:rFonts w:ascii="Arial" w:hAnsi="Arial" w:hint="default"/>
      </w:rPr>
    </w:lvl>
    <w:lvl w:ilvl="2" w:tplc="3C0644E2" w:tentative="1">
      <w:start w:val="1"/>
      <w:numFmt w:val="bullet"/>
      <w:lvlText w:val="•"/>
      <w:lvlJc w:val="left"/>
      <w:pPr>
        <w:tabs>
          <w:tab w:val="num" w:pos="2160"/>
        </w:tabs>
        <w:ind w:left="2160" w:hanging="360"/>
      </w:pPr>
      <w:rPr>
        <w:rFonts w:ascii="Arial" w:hAnsi="Arial" w:hint="default"/>
      </w:rPr>
    </w:lvl>
    <w:lvl w:ilvl="3" w:tplc="E6EEDDBA" w:tentative="1">
      <w:start w:val="1"/>
      <w:numFmt w:val="bullet"/>
      <w:lvlText w:val="•"/>
      <w:lvlJc w:val="left"/>
      <w:pPr>
        <w:tabs>
          <w:tab w:val="num" w:pos="2880"/>
        </w:tabs>
        <w:ind w:left="2880" w:hanging="360"/>
      </w:pPr>
      <w:rPr>
        <w:rFonts w:ascii="Arial" w:hAnsi="Arial" w:hint="default"/>
      </w:rPr>
    </w:lvl>
    <w:lvl w:ilvl="4" w:tplc="B6B49604" w:tentative="1">
      <w:start w:val="1"/>
      <w:numFmt w:val="bullet"/>
      <w:lvlText w:val="•"/>
      <w:lvlJc w:val="left"/>
      <w:pPr>
        <w:tabs>
          <w:tab w:val="num" w:pos="3600"/>
        </w:tabs>
        <w:ind w:left="3600" w:hanging="360"/>
      </w:pPr>
      <w:rPr>
        <w:rFonts w:ascii="Arial" w:hAnsi="Arial" w:hint="default"/>
      </w:rPr>
    </w:lvl>
    <w:lvl w:ilvl="5" w:tplc="BE0C620A" w:tentative="1">
      <w:start w:val="1"/>
      <w:numFmt w:val="bullet"/>
      <w:lvlText w:val="•"/>
      <w:lvlJc w:val="left"/>
      <w:pPr>
        <w:tabs>
          <w:tab w:val="num" w:pos="4320"/>
        </w:tabs>
        <w:ind w:left="4320" w:hanging="360"/>
      </w:pPr>
      <w:rPr>
        <w:rFonts w:ascii="Arial" w:hAnsi="Arial" w:hint="default"/>
      </w:rPr>
    </w:lvl>
    <w:lvl w:ilvl="6" w:tplc="A55C2442" w:tentative="1">
      <w:start w:val="1"/>
      <w:numFmt w:val="bullet"/>
      <w:lvlText w:val="•"/>
      <w:lvlJc w:val="left"/>
      <w:pPr>
        <w:tabs>
          <w:tab w:val="num" w:pos="5040"/>
        </w:tabs>
        <w:ind w:left="5040" w:hanging="360"/>
      </w:pPr>
      <w:rPr>
        <w:rFonts w:ascii="Arial" w:hAnsi="Arial" w:hint="default"/>
      </w:rPr>
    </w:lvl>
    <w:lvl w:ilvl="7" w:tplc="4DF28E3E" w:tentative="1">
      <w:start w:val="1"/>
      <w:numFmt w:val="bullet"/>
      <w:lvlText w:val="•"/>
      <w:lvlJc w:val="left"/>
      <w:pPr>
        <w:tabs>
          <w:tab w:val="num" w:pos="5760"/>
        </w:tabs>
        <w:ind w:left="5760" w:hanging="360"/>
      </w:pPr>
      <w:rPr>
        <w:rFonts w:ascii="Arial" w:hAnsi="Arial" w:hint="default"/>
      </w:rPr>
    </w:lvl>
    <w:lvl w:ilvl="8" w:tplc="799E287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A9"/>
    <w:rsid w:val="00093015"/>
    <w:rsid w:val="001550DD"/>
    <w:rsid w:val="00254D04"/>
    <w:rsid w:val="00272587"/>
    <w:rsid w:val="002A52A2"/>
    <w:rsid w:val="00386DA8"/>
    <w:rsid w:val="003B59CE"/>
    <w:rsid w:val="00465BA9"/>
    <w:rsid w:val="005369F2"/>
    <w:rsid w:val="00552E44"/>
    <w:rsid w:val="00633DAE"/>
    <w:rsid w:val="006C2CF9"/>
    <w:rsid w:val="006E51CD"/>
    <w:rsid w:val="007576DF"/>
    <w:rsid w:val="007D5A59"/>
    <w:rsid w:val="00833D99"/>
    <w:rsid w:val="008757C0"/>
    <w:rsid w:val="0096329C"/>
    <w:rsid w:val="00A51229"/>
    <w:rsid w:val="00A81767"/>
    <w:rsid w:val="00C40416"/>
    <w:rsid w:val="00C54F8D"/>
    <w:rsid w:val="00C804EC"/>
    <w:rsid w:val="00CD6BDE"/>
    <w:rsid w:val="00DA4965"/>
    <w:rsid w:val="00EF5EAD"/>
    <w:rsid w:val="00F1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37E55"/>
  <w15:chartTrackingRefBased/>
  <w15:docId w15:val="{51FF17AF-1519-C242-815C-BAEC3D3D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2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54F8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416"/>
    <w:rPr>
      <w:color w:val="0563C1" w:themeColor="hyperlink"/>
      <w:u w:val="single"/>
    </w:rPr>
  </w:style>
  <w:style w:type="character" w:styleId="UnresolvedMention">
    <w:name w:val="Unresolved Mention"/>
    <w:basedOn w:val="DefaultParagraphFont"/>
    <w:uiPriority w:val="99"/>
    <w:semiHidden/>
    <w:unhideWhenUsed/>
    <w:rsid w:val="00C40416"/>
    <w:rPr>
      <w:color w:val="605E5C"/>
      <w:shd w:val="clear" w:color="auto" w:fill="E1DFDD"/>
    </w:rPr>
  </w:style>
  <w:style w:type="character" w:customStyle="1" w:styleId="Heading2Char">
    <w:name w:val="Heading 2 Char"/>
    <w:basedOn w:val="DefaultParagraphFont"/>
    <w:link w:val="Heading2"/>
    <w:uiPriority w:val="9"/>
    <w:rsid w:val="00C54F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4F8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51229"/>
    <w:rPr>
      <w:color w:val="954F72" w:themeColor="followedHyperlink"/>
      <w:u w:val="single"/>
    </w:rPr>
  </w:style>
  <w:style w:type="character" w:customStyle="1" w:styleId="Heading1Char">
    <w:name w:val="Heading 1 Char"/>
    <w:basedOn w:val="DefaultParagraphFont"/>
    <w:link w:val="Heading1"/>
    <w:uiPriority w:val="9"/>
    <w:rsid w:val="00A512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00602">
      <w:bodyDiv w:val="1"/>
      <w:marLeft w:val="0"/>
      <w:marRight w:val="0"/>
      <w:marTop w:val="0"/>
      <w:marBottom w:val="0"/>
      <w:divBdr>
        <w:top w:val="none" w:sz="0" w:space="0" w:color="auto"/>
        <w:left w:val="none" w:sz="0" w:space="0" w:color="auto"/>
        <w:bottom w:val="none" w:sz="0" w:space="0" w:color="auto"/>
        <w:right w:val="none" w:sz="0" w:space="0" w:color="auto"/>
      </w:divBdr>
    </w:div>
    <w:div w:id="154028347">
      <w:bodyDiv w:val="1"/>
      <w:marLeft w:val="0"/>
      <w:marRight w:val="0"/>
      <w:marTop w:val="0"/>
      <w:marBottom w:val="0"/>
      <w:divBdr>
        <w:top w:val="none" w:sz="0" w:space="0" w:color="auto"/>
        <w:left w:val="none" w:sz="0" w:space="0" w:color="auto"/>
        <w:bottom w:val="none" w:sz="0" w:space="0" w:color="auto"/>
        <w:right w:val="none" w:sz="0" w:space="0" w:color="auto"/>
      </w:divBdr>
    </w:div>
    <w:div w:id="531846234">
      <w:bodyDiv w:val="1"/>
      <w:marLeft w:val="0"/>
      <w:marRight w:val="0"/>
      <w:marTop w:val="0"/>
      <w:marBottom w:val="0"/>
      <w:divBdr>
        <w:top w:val="none" w:sz="0" w:space="0" w:color="auto"/>
        <w:left w:val="none" w:sz="0" w:space="0" w:color="auto"/>
        <w:bottom w:val="none" w:sz="0" w:space="0" w:color="auto"/>
        <w:right w:val="none" w:sz="0" w:space="0" w:color="auto"/>
      </w:divBdr>
    </w:div>
    <w:div w:id="1169170849">
      <w:bodyDiv w:val="1"/>
      <w:marLeft w:val="0"/>
      <w:marRight w:val="0"/>
      <w:marTop w:val="0"/>
      <w:marBottom w:val="0"/>
      <w:divBdr>
        <w:top w:val="none" w:sz="0" w:space="0" w:color="auto"/>
        <w:left w:val="none" w:sz="0" w:space="0" w:color="auto"/>
        <w:bottom w:val="none" w:sz="0" w:space="0" w:color="auto"/>
        <w:right w:val="none" w:sz="0" w:space="0" w:color="auto"/>
      </w:divBdr>
    </w:div>
    <w:div w:id="1407729138">
      <w:bodyDiv w:val="1"/>
      <w:marLeft w:val="0"/>
      <w:marRight w:val="0"/>
      <w:marTop w:val="0"/>
      <w:marBottom w:val="0"/>
      <w:divBdr>
        <w:top w:val="none" w:sz="0" w:space="0" w:color="auto"/>
        <w:left w:val="none" w:sz="0" w:space="0" w:color="auto"/>
        <w:bottom w:val="none" w:sz="0" w:space="0" w:color="auto"/>
        <w:right w:val="none" w:sz="0" w:space="0" w:color="auto"/>
      </w:divBdr>
      <w:divsChild>
        <w:div w:id="99835255">
          <w:marLeft w:val="547"/>
          <w:marRight w:val="0"/>
          <w:marTop w:val="106"/>
          <w:marBottom w:val="0"/>
          <w:divBdr>
            <w:top w:val="none" w:sz="0" w:space="0" w:color="auto"/>
            <w:left w:val="none" w:sz="0" w:space="0" w:color="auto"/>
            <w:bottom w:val="none" w:sz="0" w:space="0" w:color="auto"/>
            <w:right w:val="none" w:sz="0" w:space="0" w:color="auto"/>
          </w:divBdr>
        </w:div>
        <w:div w:id="1363550229">
          <w:marLeft w:val="547"/>
          <w:marRight w:val="0"/>
          <w:marTop w:val="106"/>
          <w:marBottom w:val="0"/>
          <w:divBdr>
            <w:top w:val="none" w:sz="0" w:space="0" w:color="auto"/>
            <w:left w:val="none" w:sz="0" w:space="0" w:color="auto"/>
            <w:bottom w:val="none" w:sz="0" w:space="0" w:color="auto"/>
            <w:right w:val="none" w:sz="0" w:space="0" w:color="auto"/>
          </w:divBdr>
        </w:div>
        <w:div w:id="1229997303">
          <w:marLeft w:val="547"/>
          <w:marRight w:val="0"/>
          <w:marTop w:val="106"/>
          <w:marBottom w:val="0"/>
          <w:divBdr>
            <w:top w:val="none" w:sz="0" w:space="0" w:color="auto"/>
            <w:left w:val="none" w:sz="0" w:space="0" w:color="auto"/>
            <w:bottom w:val="none" w:sz="0" w:space="0" w:color="auto"/>
            <w:right w:val="none" w:sz="0" w:space="0" w:color="auto"/>
          </w:divBdr>
        </w:div>
        <w:div w:id="146867458">
          <w:marLeft w:val="547"/>
          <w:marRight w:val="0"/>
          <w:marTop w:val="106"/>
          <w:marBottom w:val="0"/>
          <w:divBdr>
            <w:top w:val="none" w:sz="0" w:space="0" w:color="auto"/>
            <w:left w:val="none" w:sz="0" w:space="0" w:color="auto"/>
            <w:bottom w:val="none" w:sz="0" w:space="0" w:color="auto"/>
            <w:right w:val="none" w:sz="0" w:space="0" w:color="auto"/>
          </w:divBdr>
        </w:div>
        <w:div w:id="1427457669">
          <w:marLeft w:val="547"/>
          <w:marRight w:val="0"/>
          <w:marTop w:val="106"/>
          <w:marBottom w:val="0"/>
          <w:divBdr>
            <w:top w:val="none" w:sz="0" w:space="0" w:color="auto"/>
            <w:left w:val="none" w:sz="0" w:space="0" w:color="auto"/>
            <w:bottom w:val="none" w:sz="0" w:space="0" w:color="auto"/>
            <w:right w:val="none" w:sz="0" w:space="0" w:color="auto"/>
          </w:divBdr>
        </w:div>
        <w:div w:id="2004620578">
          <w:marLeft w:val="547"/>
          <w:marRight w:val="0"/>
          <w:marTop w:val="106"/>
          <w:marBottom w:val="0"/>
          <w:divBdr>
            <w:top w:val="none" w:sz="0" w:space="0" w:color="auto"/>
            <w:left w:val="none" w:sz="0" w:space="0" w:color="auto"/>
            <w:bottom w:val="none" w:sz="0" w:space="0" w:color="auto"/>
            <w:right w:val="none" w:sz="0" w:space="0" w:color="auto"/>
          </w:divBdr>
        </w:div>
      </w:divsChild>
    </w:div>
    <w:div w:id="1965498959">
      <w:bodyDiv w:val="1"/>
      <w:marLeft w:val="0"/>
      <w:marRight w:val="0"/>
      <w:marTop w:val="0"/>
      <w:marBottom w:val="0"/>
      <w:divBdr>
        <w:top w:val="none" w:sz="0" w:space="0" w:color="auto"/>
        <w:left w:val="none" w:sz="0" w:space="0" w:color="auto"/>
        <w:bottom w:val="none" w:sz="0" w:space="0" w:color="auto"/>
        <w:right w:val="none" w:sz="0" w:space="0" w:color="auto"/>
      </w:divBdr>
    </w:div>
    <w:div w:id="20328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p.org/administration/reimbursement/reimbursement-faqs/critical-care-faq/#question0" TargetMode="External"/><Relationship Id="rId3" Type="http://schemas.openxmlformats.org/officeDocument/2006/relationships/settings" Target="settings.xml"/><Relationship Id="rId7" Type="http://schemas.openxmlformats.org/officeDocument/2006/relationships/hyperlink" Target="https://www.aliem.com/charting-coding-critical-care-ti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iem.com/charting-coding-critical-care-time/" TargetMode="External"/><Relationship Id="rId11" Type="http://schemas.openxmlformats.org/officeDocument/2006/relationships/fontTable" Target="fontTable.xml"/><Relationship Id="rId5" Type="http://schemas.openxmlformats.org/officeDocument/2006/relationships/hyperlink" Target="https://www.acep.org/administration/reimbursement/reimbursement-faqs/critical-care-faq/" TargetMode="External"/><Relationship Id="rId10" Type="http://schemas.openxmlformats.org/officeDocument/2006/relationships/hyperlink" Target="https://cgsmedicare.com/partb/pubs/news/2020/05/cope17364.html" TargetMode="External"/><Relationship Id="rId4" Type="http://schemas.openxmlformats.org/officeDocument/2006/relationships/webSettings" Target="webSettings.xml"/><Relationship Id="rId9" Type="http://schemas.openxmlformats.org/officeDocument/2006/relationships/hyperlink" Target="https://www.cgsmedicare.com/partb/mr/pdf/critical_care_fact_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Lotterman</dc:creator>
  <cp:keywords/>
  <dc:description/>
  <cp:lastModifiedBy>Seth Lotterman</cp:lastModifiedBy>
  <cp:revision>16</cp:revision>
  <dcterms:created xsi:type="dcterms:W3CDTF">2020-02-26T18:34:00Z</dcterms:created>
  <dcterms:modified xsi:type="dcterms:W3CDTF">2020-08-26T02:16:00Z</dcterms:modified>
</cp:coreProperties>
</file>