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4C5E1" w14:textId="77777777" w:rsidR="00844F7D" w:rsidRPr="00844F7D" w:rsidRDefault="00844F7D" w:rsidP="00844F7D">
      <w:pPr>
        <w:jc w:val="center"/>
        <w:rPr>
          <w:b/>
          <w:bCs/>
        </w:rPr>
      </w:pPr>
      <w:r w:rsidRPr="00844F7D">
        <w:rPr>
          <w:b/>
          <w:bCs/>
        </w:rPr>
        <w:t>Instructor Guide</w:t>
      </w:r>
    </w:p>
    <w:p w14:paraId="42D76DF0" w14:textId="1698117F" w:rsidR="00181BA6" w:rsidRDefault="00844F7D" w:rsidP="00844F7D">
      <w:pPr>
        <w:jc w:val="center"/>
        <w:rPr>
          <w:b/>
          <w:bCs/>
        </w:rPr>
      </w:pPr>
      <w:r w:rsidRPr="00844F7D">
        <w:rPr>
          <w:b/>
          <w:bCs/>
        </w:rPr>
        <w:t>Institutional Support for RAT</w:t>
      </w:r>
    </w:p>
    <w:p w14:paraId="62E3F6EC" w14:textId="5E84A801" w:rsidR="00844F7D" w:rsidRDefault="00844F7D" w:rsidP="00844F7D">
      <w:pPr>
        <w:rPr>
          <w:b/>
          <w:bCs/>
        </w:rPr>
      </w:pPr>
    </w:p>
    <w:p w14:paraId="222E1A43" w14:textId="4C1BF3C6" w:rsidR="00844F7D" w:rsidRDefault="00844F7D" w:rsidP="00844F7D">
      <w:pPr>
        <w:rPr>
          <w:b/>
          <w:bCs/>
        </w:rPr>
      </w:pPr>
      <w:r>
        <w:rPr>
          <w:b/>
          <w:bCs/>
        </w:rPr>
        <w:t>Background</w:t>
      </w:r>
    </w:p>
    <w:p w14:paraId="62D748E2" w14:textId="04953DFD" w:rsidR="00970C7C" w:rsidRPr="00970C7C" w:rsidRDefault="00970C7C" w:rsidP="00970C7C">
      <w:r w:rsidRPr="00970C7C">
        <w:t xml:space="preserve">Residents are expected to participate in the education of medical students, their resident peers as well as that of other health care professionals. </w:t>
      </w:r>
      <w:r>
        <w:t xml:space="preserve">There are many ways that residency programs and hospitals can </w:t>
      </w:r>
      <w:r w:rsidR="00DC7A81">
        <w:t xml:space="preserve">support resident as teacher (RAT) programs. </w:t>
      </w:r>
    </w:p>
    <w:p w14:paraId="6763CE7D" w14:textId="77777777" w:rsidR="00970C7C" w:rsidRDefault="00970C7C" w:rsidP="00844F7D">
      <w:pPr>
        <w:rPr>
          <w:b/>
          <w:bCs/>
        </w:rPr>
      </w:pPr>
    </w:p>
    <w:p w14:paraId="1C8872A1" w14:textId="6C77D299" w:rsidR="00844F7D" w:rsidRDefault="00844F7D" w:rsidP="00844F7D">
      <w:pPr>
        <w:rPr>
          <w:b/>
          <w:bCs/>
        </w:rPr>
      </w:pPr>
      <w:r>
        <w:rPr>
          <w:b/>
          <w:bCs/>
        </w:rPr>
        <w:t>Educational Objectives</w:t>
      </w:r>
    </w:p>
    <w:p w14:paraId="4BD7208E" w14:textId="6D4540A2" w:rsidR="00DC7A81" w:rsidRPr="00405C34" w:rsidRDefault="00DC7A81" w:rsidP="00DC7A81">
      <w:pPr>
        <w:pStyle w:val="ListParagraph"/>
        <w:numPr>
          <w:ilvl w:val="0"/>
          <w:numId w:val="5"/>
        </w:numPr>
      </w:pPr>
      <w:r w:rsidRPr="00405C34">
        <w:t>Identify levels of institutional support for RAT programs</w:t>
      </w:r>
    </w:p>
    <w:p w14:paraId="14CD70CE" w14:textId="6A781170" w:rsidR="00DC7A81" w:rsidRPr="00405C34" w:rsidRDefault="00405C34" w:rsidP="00DC7A81">
      <w:pPr>
        <w:pStyle w:val="ListParagraph"/>
        <w:numPr>
          <w:ilvl w:val="0"/>
          <w:numId w:val="5"/>
        </w:numPr>
      </w:pPr>
      <w:r w:rsidRPr="00405C34">
        <w:t>Discuss ways to incentivize residents as teachers</w:t>
      </w:r>
    </w:p>
    <w:p w14:paraId="66865FF4" w14:textId="77777777" w:rsidR="00970C7C" w:rsidRDefault="00970C7C" w:rsidP="00844F7D">
      <w:pPr>
        <w:rPr>
          <w:b/>
          <w:bCs/>
        </w:rPr>
      </w:pPr>
    </w:p>
    <w:p w14:paraId="56EC9654" w14:textId="507247D8" w:rsidR="00844F7D" w:rsidRDefault="00844F7D" w:rsidP="00844F7D">
      <w:pPr>
        <w:rPr>
          <w:b/>
          <w:bCs/>
        </w:rPr>
      </w:pPr>
      <w:r>
        <w:rPr>
          <w:b/>
          <w:bCs/>
        </w:rPr>
        <w:t>Resource Files</w:t>
      </w:r>
    </w:p>
    <w:p w14:paraId="31D840ED" w14:textId="68262CD1" w:rsidR="00844F7D" w:rsidRDefault="00844F7D" w:rsidP="00844F7D">
      <w:pPr>
        <w:pStyle w:val="ListParagraph"/>
        <w:numPr>
          <w:ilvl w:val="0"/>
          <w:numId w:val="1"/>
        </w:numPr>
      </w:pPr>
      <w:r>
        <w:t>Institutional Support for RAT</w:t>
      </w:r>
    </w:p>
    <w:p w14:paraId="503F8236" w14:textId="35D4DEA4" w:rsidR="00844F7D" w:rsidRDefault="00844F7D" w:rsidP="00844F7D">
      <w:pPr>
        <w:pStyle w:val="ListParagraph"/>
        <w:numPr>
          <w:ilvl w:val="1"/>
          <w:numId w:val="1"/>
        </w:numPr>
      </w:pPr>
      <w:proofErr w:type="gramStart"/>
      <w:r>
        <w:t>This didactic reviews strategies</w:t>
      </w:r>
      <w:proofErr w:type="gramEnd"/>
      <w:r>
        <w:t xml:space="preserve"> to incorporate </w:t>
      </w:r>
      <w:r>
        <w:t>RAT programs into the structures of residency programs</w:t>
      </w:r>
      <w:r>
        <w:t xml:space="preserve"> </w:t>
      </w:r>
    </w:p>
    <w:p w14:paraId="2F7341B6" w14:textId="77777777" w:rsidR="00844F7D" w:rsidRDefault="00844F7D" w:rsidP="00844F7D">
      <w:pPr>
        <w:pStyle w:val="ListParagraph"/>
        <w:numPr>
          <w:ilvl w:val="0"/>
          <w:numId w:val="1"/>
        </w:numPr>
      </w:pPr>
      <w:r>
        <w:t>Summary handout</w:t>
      </w:r>
    </w:p>
    <w:p w14:paraId="73ACB2C3" w14:textId="77777777" w:rsidR="00844F7D" w:rsidRPr="00E41664" w:rsidRDefault="00844F7D" w:rsidP="00844F7D">
      <w:pPr>
        <w:pStyle w:val="ListParagraph"/>
        <w:numPr>
          <w:ilvl w:val="1"/>
          <w:numId w:val="1"/>
        </w:numPr>
      </w:pPr>
      <w:r>
        <w:t xml:space="preserve">This document provides a summary for the teaching points of the module </w:t>
      </w:r>
    </w:p>
    <w:p w14:paraId="4B3B0269" w14:textId="77777777" w:rsidR="00844F7D" w:rsidRDefault="00844F7D" w:rsidP="00844F7D">
      <w:pPr>
        <w:rPr>
          <w:b/>
          <w:bCs/>
        </w:rPr>
      </w:pPr>
    </w:p>
    <w:p w14:paraId="77516AB6" w14:textId="726F5CE0" w:rsidR="00844F7D" w:rsidRDefault="00844F7D" w:rsidP="00844F7D">
      <w:pPr>
        <w:rPr>
          <w:b/>
          <w:bCs/>
        </w:rPr>
      </w:pPr>
      <w:r>
        <w:rPr>
          <w:b/>
          <w:bCs/>
        </w:rPr>
        <w:t>Total Module Duration</w:t>
      </w:r>
    </w:p>
    <w:p w14:paraId="17258124" w14:textId="77777777" w:rsidR="00844F7D" w:rsidRDefault="00844F7D" w:rsidP="00844F7D">
      <w:r>
        <w:t>20 minutes</w:t>
      </w:r>
    </w:p>
    <w:p w14:paraId="354AF1A8" w14:textId="77777777" w:rsidR="00844F7D" w:rsidRDefault="00844F7D" w:rsidP="00844F7D">
      <w:pPr>
        <w:rPr>
          <w:b/>
          <w:bCs/>
        </w:rPr>
      </w:pPr>
    </w:p>
    <w:p w14:paraId="32FCE511" w14:textId="0625F2BF" w:rsidR="00844F7D" w:rsidRDefault="00844F7D" w:rsidP="00844F7D">
      <w:pPr>
        <w:rPr>
          <w:b/>
          <w:bCs/>
        </w:rPr>
      </w:pPr>
      <w:r>
        <w:rPr>
          <w:b/>
          <w:bCs/>
        </w:rPr>
        <w:t>Required Resources</w:t>
      </w:r>
    </w:p>
    <w:p w14:paraId="031661D6" w14:textId="77777777" w:rsidR="00844F7D" w:rsidRDefault="00844F7D" w:rsidP="00844F7D">
      <w:r>
        <w:t xml:space="preserve">Computer capable of running </w:t>
      </w:r>
      <w:proofErr w:type="spellStart"/>
      <w:r>
        <w:t>Powerpoint</w:t>
      </w:r>
      <w:proofErr w:type="spellEnd"/>
    </w:p>
    <w:p w14:paraId="78DE4BFF" w14:textId="77777777" w:rsidR="00844F7D" w:rsidRDefault="00844F7D" w:rsidP="00844F7D">
      <w:pPr>
        <w:rPr>
          <w:b/>
          <w:bCs/>
        </w:rPr>
      </w:pPr>
    </w:p>
    <w:p w14:paraId="59FE49B5" w14:textId="70B573A4" w:rsidR="00844F7D" w:rsidRDefault="00844F7D" w:rsidP="00844F7D">
      <w:pPr>
        <w:rPr>
          <w:b/>
          <w:bCs/>
        </w:rPr>
      </w:pPr>
      <w:r>
        <w:rPr>
          <w:b/>
          <w:bCs/>
        </w:rPr>
        <w:t>Description of Module</w:t>
      </w:r>
    </w:p>
    <w:p w14:paraId="4DC213D0" w14:textId="77777777" w:rsidR="00844F7D" w:rsidRDefault="00844F7D" w:rsidP="00844F7D">
      <w:r>
        <w:t>Intended Audience: This module was developed for EM residents at any level of training and attending physicians</w:t>
      </w:r>
    </w:p>
    <w:p w14:paraId="139C45D7" w14:textId="77777777" w:rsidR="00970C7C" w:rsidRDefault="00970C7C" w:rsidP="00844F7D">
      <w:pPr>
        <w:rPr>
          <w:b/>
          <w:bCs/>
        </w:rPr>
      </w:pPr>
    </w:p>
    <w:p w14:paraId="645AC39B" w14:textId="3713F49F" w:rsidR="00844F7D" w:rsidRDefault="00844F7D" w:rsidP="00844F7D">
      <w:pPr>
        <w:rPr>
          <w:b/>
          <w:bCs/>
        </w:rPr>
      </w:pPr>
      <w:r>
        <w:rPr>
          <w:b/>
          <w:bCs/>
        </w:rPr>
        <w:t>Conclusions</w:t>
      </w:r>
    </w:p>
    <w:p w14:paraId="0C9022D5" w14:textId="77777777" w:rsidR="00970C7C" w:rsidRPr="00970C7C" w:rsidRDefault="00970C7C" w:rsidP="00970C7C">
      <w:pPr>
        <w:numPr>
          <w:ilvl w:val="0"/>
          <w:numId w:val="3"/>
        </w:numPr>
      </w:pPr>
      <w:r w:rsidRPr="00970C7C">
        <w:t xml:space="preserve">Residents play a pivotal role in the education of medical students, their peers, other health care professionals as well as patients and their families. </w:t>
      </w:r>
    </w:p>
    <w:p w14:paraId="1094F915" w14:textId="77777777" w:rsidR="00970C7C" w:rsidRPr="00970C7C" w:rsidRDefault="00970C7C" w:rsidP="00970C7C">
      <w:pPr>
        <w:numPr>
          <w:ilvl w:val="0"/>
          <w:numId w:val="3"/>
        </w:numPr>
      </w:pPr>
      <w:r w:rsidRPr="00970C7C">
        <w:t xml:space="preserve">Ensuring multi-level support for resident as teachers is important to ensure residents can effectively fulfil this role. </w:t>
      </w:r>
    </w:p>
    <w:p w14:paraId="3E245AD8" w14:textId="77777777" w:rsidR="00970C7C" w:rsidRPr="00970C7C" w:rsidRDefault="00970C7C" w:rsidP="00970C7C">
      <w:pPr>
        <w:numPr>
          <w:ilvl w:val="0"/>
          <w:numId w:val="3"/>
        </w:numPr>
      </w:pPr>
      <w:r w:rsidRPr="00970C7C">
        <w:t xml:space="preserve">Creating a formal curriculum and mentorship program can provide a solid foundation for residents who intend to advance their careers along a medical education pathway. </w:t>
      </w:r>
    </w:p>
    <w:p w14:paraId="124001C4" w14:textId="77777777" w:rsidR="00970C7C" w:rsidRDefault="00970C7C" w:rsidP="00844F7D">
      <w:pPr>
        <w:rPr>
          <w:b/>
          <w:bCs/>
        </w:rPr>
      </w:pPr>
    </w:p>
    <w:p w14:paraId="5132A8F4" w14:textId="27F21EC5" w:rsidR="00844F7D" w:rsidRDefault="00844F7D" w:rsidP="00844F7D">
      <w:pPr>
        <w:rPr>
          <w:b/>
          <w:bCs/>
        </w:rPr>
      </w:pPr>
      <w:r>
        <w:rPr>
          <w:b/>
          <w:bCs/>
        </w:rPr>
        <w:t>References</w:t>
      </w:r>
    </w:p>
    <w:p w14:paraId="68F7021D" w14:textId="78917393" w:rsidR="00307484" w:rsidRPr="00307484" w:rsidRDefault="00307484" w:rsidP="00307484">
      <w:pPr>
        <w:numPr>
          <w:ilvl w:val="0"/>
          <w:numId w:val="2"/>
        </w:numPr>
      </w:pPr>
      <w:r w:rsidRPr="00307484">
        <w:t>1.</w:t>
      </w:r>
      <w:r>
        <w:t xml:space="preserve"> </w:t>
      </w:r>
      <w:r w:rsidRPr="00307484">
        <w:t xml:space="preserve">McKeon, B.A., et al., </w:t>
      </w:r>
      <w:r w:rsidRPr="00307484">
        <w:rPr>
          <w:i/>
          <w:iCs/>
        </w:rPr>
        <w:t>A Consensus Guideline to Support Resident-as-Teacher Programs and Enhance the Culture of Teaching and Learning.</w:t>
      </w:r>
      <w:r w:rsidRPr="00307484">
        <w:t xml:space="preserve"> Journal of Graduate Medical Education, 2019. 11(3): p. 313-318.</w:t>
      </w:r>
    </w:p>
    <w:p w14:paraId="67191462" w14:textId="028087F4" w:rsidR="00307484" w:rsidRPr="00307484" w:rsidRDefault="00307484" w:rsidP="00307484">
      <w:pPr>
        <w:numPr>
          <w:ilvl w:val="0"/>
          <w:numId w:val="2"/>
        </w:numPr>
      </w:pPr>
      <w:r w:rsidRPr="00307484">
        <w:t>2.</w:t>
      </w:r>
      <w:r>
        <w:t xml:space="preserve"> </w:t>
      </w:r>
      <w:r w:rsidRPr="00307484">
        <w:t xml:space="preserve">Chen, H.C., et al., </w:t>
      </w:r>
      <w:r w:rsidRPr="00307484">
        <w:rPr>
          <w:i/>
          <w:iCs/>
        </w:rPr>
        <w:t>The Health Professions Education Pathway: Preparing Students, Residents, and Fellows to Become Future Educators.</w:t>
      </w:r>
      <w:r w:rsidRPr="00307484">
        <w:t xml:space="preserve"> Teach Learn Med, 2017. 29(2): p. 216-227.</w:t>
      </w:r>
    </w:p>
    <w:p w14:paraId="482FEB7D" w14:textId="60B7F728" w:rsidR="00307484" w:rsidRPr="00307484" w:rsidRDefault="00307484" w:rsidP="00307484">
      <w:pPr>
        <w:numPr>
          <w:ilvl w:val="0"/>
          <w:numId w:val="2"/>
        </w:numPr>
      </w:pPr>
      <w:r w:rsidRPr="00307484">
        <w:lastRenderedPageBreak/>
        <w:t>3.</w:t>
      </w:r>
      <w:r>
        <w:t xml:space="preserve"> </w:t>
      </w:r>
      <w:r w:rsidRPr="00307484">
        <w:t xml:space="preserve">Humbert, A.J., et al., </w:t>
      </w:r>
      <w:r w:rsidRPr="00307484">
        <w:rPr>
          <w:i/>
          <w:iCs/>
        </w:rPr>
        <w:t>Preparing Emergency Medicine Residents as Teachers: Clinical Teaching Scenarios.</w:t>
      </w:r>
      <w:r w:rsidRPr="00307484">
        <w:t xml:space="preserve"> </w:t>
      </w:r>
      <w:proofErr w:type="spellStart"/>
      <w:r w:rsidRPr="00307484">
        <w:t>MedEdPORTAL</w:t>
      </w:r>
      <w:proofErr w:type="spellEnd"/>
      <w:r w:rsidRPr="00307484">
        <w:t>, 2018. 14: p. 10717.</w:t>
      </w:r>
    </w:p>
    <w:p w14:paraId="0E932261" w14:textId="77777777" w:rsidR="00844F7D" w:rsidRPr="00844F7D" w:rsidRDefault="00844F7D" w:rsidP="00844F7D">
      <w:pPr>
        <w:rPr>
          <w:b/>
          <w:bCs/>
        </w:rPr>
      </w:pPr>
    </w:p>
    <w:sectPr w:rsidR="00844F7D" w:rsidRPr="00844F7D" w:rsidSect="00F62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848B3"/>
    <w:multiLevelType w:val="hybridMultilevel"/>
    <w:tmpl w:val="96FCA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43BC4"/>
    <w:multiLevelType w:val="hybridMultilevel"/>
    <w:tmpl w:val="266E904E"/>
    <w:lvl w:ilvl="0" w:tplc="9E70C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C6D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5ED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AA7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FC8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90B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45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020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261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5AF04A6"/>
    <w:multiLevelType w:val="hybridMultilevel"/>
    <w:tmpl w:val="86E09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10418"/>
    <w:multiLevelType w:val="hybridMultilevel"/>
    <w:tmpl w:val="67D6FAAA"/>
    <w:lvl w:ilvl="0" w:tplc="E3CCB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9A6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FC4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E3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64F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96B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D21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6E8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AA8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5CA4327"/>
    <w:multiLevelType w:val="hybridMultilevel"/>
    <w:tmpl w:val="EE4A1926"/>
    <w:lvl w:ilvl="0" w:tplc="2D0A2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40C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C8E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8E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EC4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0CD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DEF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78D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C2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7D"/>
    <w:rsid w:val="001548F6"/>
    <w:rsid w:val="001D64D9"/>
    <w:rsid w:val="00307484"/>
    <w:rsid w:val="00346F47"/>
    <w:rsid w:val="00367CA7"/>
    <w:rsid w:val="00405C34"/>
    <w:rsid w:val="006830BC"/>
    <w:rsid w:val="00844F7D"/>
    <w:rsid w:val="008E0B88"/>
    <w:rsid w:val="00970C7C"/>
    <w:rsid w:val="009F03B4"/>
    <w:rsid w:val="00B34FF7"/>
    <w:rsid w:val="00DC7A81"/>
    <w:rsid w:val="00E83378"/>
    <w:rsid w:val="00F6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063BE5"/>
  <w14:defaultImageDpi w14:val="32767"/>
  <w15:chartTrackingRefBased/>
  <w15:docId w15:val="{D20FF0A3-D9D7-9C46-A061-AC15328F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0748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79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3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8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9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0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08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jessica.bod@yale.edu</dc:creator>
  <cp:keywords/>
  <dc:description/>
  <cp:lastModifiedBy>jessica.bod@yale.edu</cp:lastModifiedBy>
  <cp:revision>2</cp:revision>
  <dcterms:created xsi:type="dcterms:W3CDTF">2022-02-17T20:03:00Z</dcterms:created>
  <dcterms:modified xsi:type="dcterms:W3CDTF">2022-02-17T20:03:00Z</dcterms:modified>
</cp:coreProperties>
</file>