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Teaching in Small Groups: Handout</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Background</w:t>
      </w:r>
    </w:p>
    <w:p w:rsidR="00000000" w:rsidDel="00000000" w:rsidP="00000000" w:rsidRDefault="00000000" w:rsidRPr="00000000" w14:paraId="00000003">
      <w:pPr>
        <w:spacing w:after="240" w:before="240" w:lineRule="auto"/>
        <w:jc w:val="both"/>
        <w:rPr/>
      </w:pPr>
      <w:r w:rsidDel="00000000" w:rsidR="00000000" w:rsidRPr="00000000">
        <w:rPr>
          <w:rtl w:val="0"/>
        </w:rPr>
        <w:t xml:space="preserve">Small group teaching has been shown to increase learner satisfaction, long-term retention, and the application of clinical knowledge (Wolff et al 2013). Teaching in small groups should be student-led and geared towards collaborative problem solving. The following guide provides some strategies for facilitators leading small groups, specifically in Emergency Medicine residencies.</w:t>
      </w:r>
    </w:p>
    <w:p w:rsidR="00000000" w:rsidDel="00000000" w:rsidP="00000000" w:rsidRDefault="00000000" w:rsidRPr="00000000" w14:paraId="00000004">
      <w:pPr>
        <w:spacing w:after="240" w:before="240" w:lineRule="auto"/>
        <w:rPr>
          <w:highlight w:val="white"/>
        </w:rPr>
      </w:pPr>
      <w:r w:rsidDel="00000000" w:rsidR="00000000" w:rsidRPr="00000000">
        <w:rPr>
          <w:b w:val="1"/>
          <w:rtl w:val="0"/>
        </w:rPr>
        <w:t xml:space="preserve">Pre-reading: </w:t>
      </w:r>
      <w:r w:rsidDel="00000000" w:rsidR="00000000" w:rsidRPr="00000000">
        <w:rPr>
          <w:highlight w:val="white"/>
          <w:rtl w:val="0"/>
        </w:rPr>
        <w:t xml:space="preserve">Not Another Boring Lecture: Engaging Learners with Active Learning Techniques</w:t>
        <w:br w:type="textWrapping"/>
        <w:t xml:space="preserve">Wolff, Margaret et al. Journal of Emergency Medicine, Volume 48, Issue 1, 85 - 93</w:t>
      </w:r>
    </w:p>
    <w:p w:rsidR="00000000" w:rsidDel="00000000" w:rsidP="00000000" w:rsidRDefault="00000000" w:rsidRPr="00000000" w14:paraId="00000005">
      <w:pPr>
        <w:widowControl w:val="0"/>
        <w:spacing w:after="240" w:before="240" w:lineRule="auto"/>
        <w:jc w:val="both"/>
        <w:rPr>
          <w:b w:val="1"/>
          <w:highlight w:val="white"/>
        </w:rPr>
      </w:pPr>
      <w:r w:rsidDel="00000000" w:rsidR="00000000" w:rsidRPr="00000000">
        <w:rPr>
          <w:b w:val="1"/>
          <w:highlight w:val="white"/>
          <w:rtl w:val="0"/>
        </w:rPr>
        <w:t xml:space="preserve">General Best Practices</w:t>
      </w:r>
    </w:p>
    <w:p w:rsidR="00000000" w:rsidDel="00000000" w:rsidP="00000000" w:rsidRDefault="00000000" w:rsidRPr="00000000" w14:paraId="00000006">
      <w:pPr>
        <w:widowControl w:val="0"/>
        <w:numPr>
          <w:ilvl w:val="0"/>
          <w:numId w:val="5"/>
        </w:numPr>
        <w:spacing w:after="0" w:afterAutospacing="0" w:lineRule="auto"/>
        <w:ind w:left="720" w:hanging="360"/>
        <w:jc w:val="both"/>
        <w:rPr>
          <w:rFonts w:ascii="Arial" w:cs="Arial" w:eastAsia="Arial" w:hAnsi="Arial"/>
          <w:color w:val="000000"/>
          <w:sz w:val="22"/>
          <w:szCs w:val="22"/>
        </w:rPr>
      </w:pPr>
      <w:r w:rsidDel="00000000" w:rsidR="00000000" w:rsidRPr="00000000">
        <w:rPr>
          <w:rtl w:val="0"/>
        </w:rPr>
        <w:t xml:space="preserve">Prioritize active learning in small groups rather than passive listening</w:t>
      </w:r>
    </w:p>
    <w:p w:rsidR="00000000" w:rsidDel="00000000" w:rsidP="00000000" w:rsidRDefault="00000000" w:rsidRPr="00000000" w14:paraId="00000007">
      <w:pPr>
        <w:widowControl w:val="0"/>
        <w:numPr>
          <w:ilvl w:val="0"/>
          <w:numId w:val="5"/>
        </w:numPr>
        <w:spacing w:after="0" w:afterAutospacing="0" w:lineRule="auto"/>
        <w:ind w:left="720" w:hanging="360"/>
        <w:jc w:val="both"/>
        <w:rPr>
          <w:rFonts w:ascii="Arial" w:cs="Arial" w:eastAsia="Arial" w:hAnsi="Arial"/>
          <w:color w:val="000000"/>
          <w:sz w:val="22"/>
          <w:szCs w:val="22"/>
        </w:rPr>
      </w:pPr>
      <w:r w:rsidDel="00000000" w:rsidR="00000000" w:rsidRPr="00000000">
        <w:rPr>
          <w:rtl w:val="0"/>
        </w:rPr>
        <w:t xml:space="preserve">Rapid-fire case discussions with targeted learning points have been highly rated by students (King et al 2017)</w:t>
      </w:r>
    </w:p>
    <w:p w:rsidR="00000000" w:rsidDel="00000000" w:rsidP="00000000" w:rsidRDefault="00000000" w:rsidRPr="00000000" w14:paraId="00000008">
      <w:pPr>
        <w:widowControl w:val="0"/>
        <w:numPr>
          <w:ilvl w:val="0"/>
          <w:numId w:val="5"/>
        </w:numPr>
        <w:spacing w:after="0" w:afterAutospacing="0" w:lineRule="auto"/>
        <w:ind w:left="720" w:hanging="360"/>
        <w:jc w:val="both"/>
        <w:rPr>
          <w:rFonts w:ascii="Arial" w:cs="Arial" w:eastAsia="Arial" w:hAnsi="Arial"/>
          <w:color w:val="000000"/>
          <w:sz w:val="22"/>
          <w:szCs w:val="22"/>
        </w:rPr>
      </w:pPr>
      <w:r w:rsidDel="00000000" w:rsidR="00000000" w:rsidRPr="00000000">
        <w:rPr>
          <w:rtl w:val="0"/>
        </w:rPr>
        <w:t xml:space="preserve">Incorporate “pause procedures” to allow for internal active processing</w:t>
      </w:r>
    </w:p>
    <w:p w:rsidR="00000000" w:rsidDel="00000000" w:rsidP="00000000" w:rsidRDefault="00000000" w:rsidRPr="00000000" w14:paraId="00000009">
      <w:pPr>
        <w:widowControl w:val="0"/>
        <w:numPr>
          <w:ilvl w:val="0"/>
          <w:numId w:val="5"/>
        </w:numPr>
        <w:spacing w:after="0" w:afterAutospacing="0" w:lineRule="auto"/>
        <w:ind w:left="720" w:hanging="360"/>
        <w:jc w:val="both"/>
        <w:rPr>
          <w:rFonts w:ascii="Arial" w:cs="Arial" w:eastAsia="Arial" w:hAnsi="Arial"/>
          <w:color w:val="000000"/>
          <w:sz w:val="22"/>
          <w:szCs w:val="22"/>
        </w:rPr>
      </w:pPr>
      <w:r w:rsidDel="00000000" w:rsidR="00000000" w:rsidRPr="00000000">
        <w:rPr>
          <w:rtl w:val="0"/>
        </w:rPr>
        <w:t xml:space="preserve">Consider allowing open (self-chosen) resources for pre-class preparation for adult learners</w:t>
      </w:r>
    </w:p>
    <w:p w:rsidR="00000000" w:rsidDel="00000000" w:rsidP="00000000" w:rsidRDefault="00000000" w:rsidRPr="00000000" w14:paraId="0000000A">
      <w:pPr>
        <w:widowControl w:val="0"/>
        <w:numPr>
          <w:ilvl w:val="0"/>
          <w:numId w:val="5"/>
        </w:numPr>
        <w:spacing w:after="0" w:afterAutospacing="0" w:lineRule="auto"/>
        <w:ind w:left="720" w:hanging="360"/>
        <w:jc w:val="both"/>
        <w:rPr>
          <w:rFonts w:ascii="Arial" w:cs="Arial" w:eastAsia="Arial" w:hAnsi="Arial"/>
          <w:color w:val="000000"/>
          <w:sz w:val="22"/>
          <w:szCs w:val="22"/>
        </w:rPr>
      </w:pPr>
      <w:r w:rsidDel="00000000" w:rsidR="00000000" w:rsidRPr="00000000">
        <w:rPr>
          <w:rtl w:val="0"/>
        </w:rPr>
        <w:t xml:space="preserve">Keep pre-meeting preparation materials short (&lt;20 minutes)</w:t>
      </w:r>
    </w:p>
    <w:p w:rsidR="00000000" w:rsidDel="00000000" w:rsidP="00000000" w:rsidRDefault="00000000" w:rsidRPr="00000000" w14:paraId="0000000B">
      <w:pPr>
        <w:widowControl w:val="0"/>
        <w:numPr>
          <w:ilvl w:val="0"/>
          <w:numId w:val="5"/>
        </w:numPr>
        <w:spacing w:after="240" w:lineRule="auto"/>
        <w:ind w:left="720" w:hanging="360"/>
        <w:jc w:val="both"/>
        <w:rPr>
          <w:rFonts w:ascii="Arial" w:cs="Arial" w:eastAsia="Arial" w:hAnsi="Arial"/>
          <w:color w:val="000000"/>
          <w:sz w:val="22"/>
          <w:szCs w:val="22"/>
        </w:rPr>
      </w:pPr>
      <w:r w:rsidDel="00000000" w:rsidR="00000000" w:rsidRPr="00000000">
        <w:rPr>
          <w:rtl w:val="0"/>
        </w:rPr>
        <w:t xml:space="preserve">The learners should lead, not the facilitator</w:t>
      </w:r>
      <w:r w:rsidDel="00000000" w:rsidR="00000000" w:rsidRPr="00000000">
        <w:rPr>
          <w:rtl w:val="0"/>
        </w:rPr>
      </w:r>
    </w:p>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What is a flipped classroom?</w:t>
      </w:r>
    </w:p>
    <w:p w:rsidR="00000000" w:rsidDel="00000000" w:rsidP="00000000" w:rsidRDefault="00000000" w:rsidRPr="00000000" w14:paraId="0000000D">
      <w:pPr>
        <w:widowControl w:val="0"/>
        <w:spacing w:after="240" w:before="240" w:lineRule="auto"/>
        <w:ind w:left="0" w:firstLine="0"/>
        <w:jc w:val="both"/>
        <w:rPr/>
      </w:pPr>
      <w:r w:rsidDel="00000000" w:rsidR="00000000" w:rsidRPr="00000000">
        <w:rPr>
          <w:rtl w:val="0"/>
        </w:rPr>
        <w:t xml:space="preserve">Learners pre-view materials that might formerly have been used as didactic lecture, and use class time to engage in student-centered learning activities </w:t>
      </w:r>
      <w:r w:rsidDel="00000000" w:rsidR="00000000" w:rsidRPr="00000000">
        <w:rPr>
          <w:rtl w:val="0"/>
        </w:rPr>
        <w:t xml:space="preserve">(Moraros et al 2015).</w:t>
      </w:r>
    </w:p>
    <w:p w:rsidR="00000000" w:rsidDel="00000000" w:rsidP="00000000" w:rsidRDefault="00000000" w:rsidRPr="00000000" w14:paraId="0000000E">
      <w:pPr>
        <w:widowControl w:val="0"/>
        <w:spacing w:after="240" w:before="240" w:lineRule="auto"/>
        <w:ind w:left="0" w:firstLine="720"/>
        <w:jc w:val="both"/>
        <w:rPr/>
      </w:pPr>
      <w:r w:rsidDel="00000000" w:rsidR="00000000" w:rsidRPr="00000000">
        <w:rPr>
          <w:rFonts w:ascii="Arial Unicode MS" w:cs="Arial Unicode MS" w:eastAsia="Arial Unicode MS" w:hAnsi="Arial Unicode MS"/>
          <w:rtl w:val="0"/>
        </w:rPr>
        <w:t xml:space="preserve">→ Example agenda: </w:t>
      </w:r>
    </w:p>
    <w:p w:rsidR="00000000" w:rsidDel="00000000" w:rsidP="00000000" w:rsidRDefault="00000000" w:rsidRPr="00000000" w14:paraId="0000000F">
      <w:pPr>
        <w:widowControl w:val="0"/>
        <w:numPr>
          <w:ilvl w:val="0"/>
          <w:numId w:val="1"/>
        </w:numPr>
        <w:spacing w:after="0" w:afterAutospacing="0" w:before="240" w:lineRule="auto"/>
        <w:ind w:left="1440" w:hanging="360"/>
        <w:jc w:val="both"/>
        <w:rPr>
          <w:highlight w:val="white"/>
          <w:u w:val="none"/>
        </w:rPr>
      </w:pPr>
      <w:r w:rsidDel="00000000" w:rsidR="00000000" w:rsidRPr="00000000">
        <w:rPr>
          <w:b w:val="1"/>
          <w:highlight w:val="white"/>
          <w:rtl w:val="0"/>
        </w:rPr>
        <w:t xml:space="preserve">Pre-class</w:t>
      </w:r>
      <w:r w:rsidDel="00000000" w:rsidR="00000000" w:rsidRPr="00000000">
        <w:rPr>
          <w:highlight w:val="white"/>
          <w:rtl w:val="0"/>
        </w:rPr>
        <w:t xml:space="preserve"> preparation may include a brief 15-20 minute video lecture, podcast, or textbook reading. </w:t>
      </w:r>
    </w:p>
    <w:p w:rsidR="00000000" w:rsidDel="00000000" w:rsidP="00000000" w:rsidRDefault="00000000" w:rsidRPr="00000000" w14:paraId="00000010">
      <w:pPr>
        <w:widowControl w:val="0"/>
        <w:numPr>
          <w:ilvl w:val="0"/>
          <w:numId w:val="1"/>
        </w:numPr>
        <w:spacing w:after="0" w:afterAutospacing="0" w:before="0" w:beforeAutospacing="0" w:lineRule="auto"/>
        <w:ind w:left="1440" w:hanging="360"/>
        <w:jc w:val="both"/>
        <w:rPr>
          <w:highlight w:val="white"/>
          <w:u w:val="none"/>
        </w:rPr>
      </w:pPr>
      <w:r w:rsidDel="00000000" w:rsidR="00000000" w:rsidRPr="00000000">
        <w:rPr>
          <w:b w:val="1"/>
          <w:highlight w:val="white"/>
          <w:rtl w:val="0"/>
        </w:rPr>
        <w:t xml:space="preserve">During class,</w:t>
      </w:r>
      <w:r w:rsidDel="00000000" w:rsidR="00000000" w:rsidRPr="00000000">
        <w:rPr>
          <w:highlight w:val="white"/>
          <w:rtl w:val="0"/>
        </w:rPr>
        <w:t xml:space="preserve"> students take a brief informal (5 minute) formative quiz to gauge understanding. </w:t>
      </w:r>
    </w:p>
    <w:p w:rsidR="00000000" w:rsidDel="00000000" w:rsidP="00000000" w:rsidRDefault="00000000" w:rsidRPr="00000000" w14:paraId="00000011">
      <w:pPr>
        <w:widowControl w:val="0"/>
        <w:numPr>
          <w:ilvl w:val="0"/>
          <w:numId w:val="1"/>
        </w:numPr>
        <w:spacing w:after="0" w:afterAutospacing="0" w:before="0" w:beforeAutospacing="0" w:lineRule="auto"/>
        <w:ind w:left="1440" w:hanging="360"/>
        <w:jc w:val="both"/>
        <w:rPr>
          <w:highlight w:val="white"/>
          <w:u w:val="none"/>
        </w:rPr>
      </w:pPr>
      <w:r w:rsidDel="00000000" w:rsidR="00000000" w:rsidRPr="00000000">
        <w:rPr>
          <w:highlight w:val="white"/>
          <w:rtl w:val="0"/>
        </w:rPr>
        <w:t xml:space="preserve">Questions and misconceptions may briefly be addressed (5-15 minutes). </w:t>
      </w:r>
    </w:p>
    <w:p w:rsidR="00000000" w:rsidDel="00000000" w:rsidP="00000000" w:rsidRDefault="00000000" w:rsidRPr="00000000" w14:paraId="00000012">
      <w:pPr>
        <w:widowControl w:val="0"/>
        <w:numPr>
          <w:ilvl w:val="0"/>
          <w:numId w:val="1"/>
        </w:numPr>
        <w:spacing w:after="240" w:before="0" w:beforeAutospacing="0" w:lineRule="auto"/>
        <w:ind w:left="1440" w:hanging="360"/>
        <w:jc w:val="both"/>
        <w:rPr>
          <w:highlight w:val="white"/>
          <w:u w:val="none"/>
        </w:rPr>
      </w:pPr>
      <w:r w:rsidDel="00000000" w:rsidR="00000000" w:rsidRPr="00000000">
        <w:rPr>
          <w:highlight w:val="white"/>
          <w:rtl w:val="0"/>
        </w:rPr>
        <w:t xml:space="preserve">Students use the remainder to engage in discussion, problem-solving, or performance to apply the skills learned</w:t>
      </w:r>
    </w:p>
    <w:p w:rsidR="00000000" w:rsidDel="00000000" w:rsidP="00000000" w:rsidRDefault="00000000" w:rsidRPr="00000000" w14:paraId="00000013">
      <w:pPr>
        <w:widowControl w:val="0"/>
        <w:spacing w:after="240" w:before="240" w:lineRule="auto"/>
        <w:jc w:val="both"/>
        <w:rPr>
          <w:highlight w:val="white"/>
        </w:rPr>
      </w:pPr>
      <w:r w:rsidDel="00000000" w:rsidR="00000000" w:rsidRPr="00000000">
        <w:rPr>
          <w:b w:val="1"/>
          <w:highlight w:val="white"/>
          <w:rtl w:val="0"/>
        </w:rPr>
        <w:t xml:space="preserve">Pause Procedures: </w:t>
      </w:r>
      <w:r w:rsidDel="00000000" w:rsidR="00000000" w:rsidRPr="00000000">
        <w:rPr>
          <w:highlight w:val="white"/>
          <w:rtl w:val="0"/>
        </w:rPr>
        <w:t xml:space="preserve">ways to pause, cement, and self-assess learning in real time, and which are inclusive to all learning styles.</w:t>
      </w:r>
    </w:p>
    <w:p w:rsidR="00000000" w:rsidDel="00000000" w:rsidP="00000000" w:rsidRDefault="00000000" w:rsidRPr="00000000" w14:paraId="00000014">
      <w:pPr>
        <w:widowControl w:val="0"/>
        <w:numPr>
          <w:ilvl w:val="0"/>
          <w:numId w:val="2"/>
        </w:numPr>
        <w:spacing w:after="0" w:afterAutospacing="0" w:before="240" w:lineRule="auto"/>
        <w:ind w:left="720" w:hanging="360"/>
        <w:rPr>
          <w:b w:val="1"/>
          <w:highlight w:val="white"/>
        </w:rPr>
      </w:pPr>
      <w:r w:rsidDel="00000000" w:rsidR="00000000" w:rsidRPr="00000000">
        <w:rPr>
          <w:i w:val="1"/>
          <w:rtl w:val="0"/>
        </w:rPr>
        <w:t xml:space="preserve">Think-Pair-Share:</w:t>
      </w:r>
      <w:r w:rsidDel="00000000" w:rsidR="00000000" w:rsidRPr="00000000">
        <w:rPr>
          <w:rtl w:val="0"/>
        </w:rPr>
        <w:t xml:space="preserve"> </w:t>
      </w:r>
      <w:r w:rsidDel="00000000" w:rsidR="00000000" w:rsidRPr="00000000">
        <w:rPr>
          <w:rtl w:val="0"/>
        </w:rPr>
        <w:t xml:space="preserve">Allows learners who may be unwilling to speak up in larger groups to practice answers and come to a consensus in a safe learning environment</w:t>
      </w:r>
    </w:p>
    <w:p w:rsidR="00000000" w:rsidDel="00000000" w:rsidP="00000000" w:rsidRDefault="00000000" w:rsidRPr="00000000" w14:paraId="00000015">
      <w:pPr>
        <w:widowControl w:val="0"/>
        <w:numPr>
          <w:ilvl w:val="0"/>
          <w:numId w:val="2"/>
        </w:numPr>
        <w:spacing w:after="0" w:afterAutospacing="0" w:before="0" w:beforeAutospacing="0" w:lineRule="auto"/>
        <w:ind w:left="720" w:hanging="360"/>
        <w:rPr>
          <w:u w:val="none"/>
        </w:rPr>
      </w:pPr>
      <w:r w:rsidDel="00000000" w:rsidR="00000000" w:rsidRPr="00000000">
        <w:rPr>
          <w:i w:val="1"/>
          <w:rtl w:val="0"/>
        </w:rPr>
        <w:t xml:space="preserve">One-minute Paper</w:t>
      </w:r>
      <w:r w:rsidDel="00000000" w:rsidR="00000000" w:rsidRPr="00000000">
        <w:rPr>
          <w:rtl w:val="0"/>
        </w:rPr>
        <w:t xml:space="preserve">: </w:t>
      </w:r>
      <w:r w:rsidDel="00000000" w:rsidR="00000000" w:rsidRPr="00000000">
        <w:rPr>
          <w:rtl w:val="0"/>
        </w:rPr>
        <w:t xml:space="preserve">Pause procedure that allows for private written processing</w:t>
      </w:r>
    </w:p>
    <w:p w:rsidR="00000000" w:rsidDel="00000000" w:rsidP="00000000" w:rsidRDefault="00000000" w:rsidRPr="00000000" w14:paraId="00000016">
      <w:pPr>
        <w:widowControl w:val="0"/>
        <w:numPr>
          <w:ilvl w:val="0"/>
          <w:numId w:val="2"/>
        </w:numPr>
        <w:spacing w:after="240" w:before="0" w:beforeAutospacing="0" w:lineRule="auto"/>
        <w:ind w:left="720" w:hanging="360"/>
        <w:rPr>
          <w:u w:val="none"/>
        </w:rPr>
      </w:pPr>
      <w:r w:rsidDel="00000000" w:rsidR="00000000" w:rsidRPr="00000000">
        <w:rPr>
          <w:i w:val="1"/>
          <w:rtl w:val="0"/>
        </w:rPr>
        <w:t xml:space="preserve">Commitment activities: </w:t>
      </w:r>
      <w:r w:rsidDel="00000000" w:rsidR="00000000" w:rsidRPr="00000000">
        <w:rPr>
          <w:rtl w:val="0"/>
        </w:rPr>
        <w:t xml:space="preserve">Requiring</w:t>
      </w:r>
      <w:r w:rsidDel="00000000" w:rsidR="00000000" w:rsidRPr="00000000">
        <w:rPr>
          <w:rtl w:val="0"/>
        </w:rPr>
        <w:t xml:space="preserve"> learners to commit to an answer, whether anonymously via clicker or reporting system, or by moving around the room to preassigned answer choices. Allows for active engagement and formative assessment of learner understanding</w:t>
      </w:r>
    </w:p>
    <w:p w:rsidR="00000000" w:rsidDel="00000000" w:rsidP="00000000" w:rsidRDefault="00000000" w:rsidRPr="00000000" w14:paraId="00000017">
      <w:pPr>
        <w:widowControl w:val="0"/>
        <w:spacing w:after="240" w:before="240" w:lineRule="auto"/>
        <w:rPr>
          <w:b w:val="1"/>
        </w:rPr>
      </w:pPr>
      <w:r w:rsidDel="00000000" w:rsidR="00000000" w:rsidRPr="00000000">
        <w:rPr>
          <w:b w:val="1"/>
          <w:rtl w:val="0"/>
        </w:rPr>
        <w:t xml:space="preserve">Collaborative learning techniques</w:t>
      </w:r>
    </w:p>
    <w:p w:rsidR="00000000" w:rsidDel="00000000" w:rsidP="00000000" w:rsidRDefault="00000000" w:rsidRPr="00000000" w14:paraId="00000018">
      <w:pPr>
        <w:widowControl w:val="0"/>
        <w:numPr>
          <w:ilvl w:val="0"/>
          <w:numId w:val="6"/>
        </w:numPr>
        <w:spacing w:after="0" w:afterAutospacing="0" w:before="240" w:lineRule="auto"/>
        <w:ind w:left="720" w:hanging="360"/>
        <w:jc w:val="both"/>
        <w:rPr>
          <w:u w:val="none"/>
        </w:rPr>
      </w:pPr>
      <w:r w:rsidDel="00000000" w:rsidR="00000000" w:rsidRPr="00000000">
        <w:rPr>
          <w:i w:val="1"/>
          <w:rtl w:val="0"/>
        </w:rPr>
        <w:t xml:space="preserve">Team Based Learning:</w:t>
      </w:r>
      <w:r w:rsidDel="00000000" w:rsidR="00000000" w:rsidRPr="00000000">
        <w:rPr>
          <w:rtl w:val="0"/>
        </w:rPr>
        <w:t xml:space="preserve"> </w:t>
      </w:r>
      <w:r w:rsidDel="00000000" w:rsidR="00000000" w:rsidRPr="00000000">
        <w:rPr>
          <w:rtl w:val="0"/>
        </w:rPr>
        <w:t xml:space="preserve">A common way to conduct a flipped classroom, in which learners complete pre-class preparation and are then challenged to apply core content to scenarios as a team. Especially applicable in the Simulation Lab.</w:t>
      </w:r>
    </w:p>
    <w:p w:rsidR="00000000" w:rsidDel="00000000" w:rsidP="00000000" w:rsidRDefault="00000000" w:rsidRPr="00000000" w14:paraId="00000019">
      <w:pPr>
        <w:widowControl w:val="0"/>
        <w:numPr>
          <w:ilvl w:val="0"/>
          <w:numId w:val="6"/>
        </w:numPr>
        <w:spacing w:after="0" w:afterAutospacing="0" w:before="0" w:beforeAutospacing="0" w:lineRule="auto"/>
        <w:ind w:left="720" w:hanging="360"/>
        <w:jc w:val="both"/>
        <w:rPr>
          <w:u w:val="none"/>
        </w:rPr>
      </w:pPr>
      <w:r w:rsidDel="00000000" w:rsidR="00000000" w:rsidRPr="00000000">
        <w:rPr>
          <w:i w:val="1"/>
          <w:rtl w:val="0"/>
        </w:rPr>
        <w:t xml:space="preserve">Jig Saw:</w:t>
      </w:r>
      <w:r w:rsidDel="00000000" w:rsidR="00000000" w:rsidRPr="00000000">
        <w:rPr>
          <w:rtl w:val="0"/>
        </w:rPr>
        <w:t xml:space="preserve"> </w:t>
      </w:r>
      <w:r w:rsidDel="00000000" w:rsidR="00000000" w:rsidRPr="00000000">
        <w:rPr>
          <w:rtl w:val="0"/>
        </w:rPr>
        <w:t xml:space="preserve">A type of cooperative learning that allows learners to become teachers by breaking a larger topic into several smaller, interrelated topics that learners synthesize and teach each other</w:t>
      </w:r>
    </w:p>
    <w:p w:rsidR="00000000" w:rsidDel="00000000" w:rsidP="00000000" w:rsidRDefault="00000000" w:rsidRPr="00000000" w14:paraId="0000001A">
      <w:pPr>
        <w:widowControl w:val="0"/>
        <w:numPr>
          <w:ilvl w:val="0"/>
          <w:numId w:val="6"/>
        </w:numPr>
        <w:spacing w:after="240" w:before="0" w:beforeAutospacing="0" w:lineRule="auto"/>
        <w:ind w:left="720" w:hanging="360"/>
        <w:jc w:val="both"/>
        <w:rPr>
          <w:u w:val="none"/>
        </w:rPr>
      </w:pPr>
      <w:r w:rsidDel="00000000" w:rsidR="00000000" w:rsidRPr="00000000">
        <w:rPr>
          <w:i w:val="1"/>
          <w:rtl w:val="0"/>
        </w:rPr>
        <w:t xml:space="preserve">Problem-based learning:</w:t>
      </w:r>
      <w:r w:rsidDel="00000000" w:rsidR="00000000" w:rsidRPr="00000000">
        <w:rPr>
          <w:rtl w:val="0"/>
        </w:rPr>
        <w:t xml:space="preserve"> Team members solve complex problems in groups. Especially well-suited to case-based problems.</w:t>
      </w:r>
      <w:r w:rsidDel="00000000" w:rsidR="00000000" w:rsidRPr="00000000">
        <w:rPr>
          <w:rtl w:val="0"/>
        </w:rPr>
      </w:r>
    </w:p>
    <w:p w:rsidR="00000000" w:rsidDel="00000000" w:rsidP="00000000" w:rsidRDefault="00000000" w:rsidRPr="00000000" w14:paraId="0000001B">
      <w:pPr>
        <w:spacing w:after="240" w:before="240" w:lineRule="auto"/>
        <w:jc w:val="both"/>
        <w:rPr>
          <w:b w:val="1"/>
        </w:rPr>
      </w:pPr>
      <w:r w:rsidDel="00000000" w:rsidR="00000000" w:rsidRPr="00000000">
        <w:rPr>
          <w:b w:val="1"/>
          <w:rtl w:val="0"/>
        </w:rPr>
        <w:t xml:space="preserve">Resources</w:t>
      </w:r>
    </w:p>
    <w:p w:rsidR="00000000" w:rsidDel="00000000" w:rsidP="00000000" w:rsidRDefault="00000000" w:rsidRPr="00000000" w14:paraId="0000001C">
      <w:pPr>
        <w:numPr>
          <w:ilvl w:val="0"/>
          <w:numId w:val="4"/>
        </w:numPr>
        <w:spacing w:after="0" w:afterAutospacing="0" w:before="240" w:lineRule="auto"/>
        <w:ind w:left="720" w:hanging="360"/>
      </w:pPr>
      <w:r w:rsidDel="00000000" w:rsidR="00000000" w:rsidRPr="00000000">
        <w:rPr>
          <w:rtl w:val="0"/>
        </w:rPr>
        <w:t xml:space="preserve">Poll Everywhere online polling for commitment activities: </w:t>
      </w:r>
      <w:hyperlink r:id="rId6">
        <w:r w:rsidDel="00000000" w:rsidR="00000000" w:rsidRPr="00000000">
          <w:rPr>
            <w:color w:val="1155cc"/>
            <w:u w:val="single"/>
            <w:rtl w:val="0"/>
          </w:rPr>
          <w:t xml:space="preserve">https://www.polleverywhere.com</w:t>
        </w:r>
      </w:hyperlink>
      <w:r w:rsidDel="00000000" w:rsidR="00000000" w:rsidRPr="00000000">
        <w:rPr>
          <w:rtl w:val="0"/>
        </w:rPr>
        <w:t xml:space="preserve"> </w:t>
      </w:r>
    </w:p>
    <w:p w:rsidR="00000000" w:rsidDel="00000000" w:rsidP="00000000" w:rsidRDefault="00000000" w:rsidRPr="00000000" w14:paraId="0000001D">
      <w:pPr>
        <w:numPr>
          <w:ilvl w:val="0"/>
          <w:numId w:val="4"/>
        </w:numPr>
        <w:spacing w:after="0" w:afterAutospacing="0" w:before="0" w:beforeAutospacing="0" w:lineRule="auto"/>
        <w:ind w:left="720" w:hanging="360"/>
      </w:pPr>
      <w:r w:rsidDel="00000000" w:rsidR="00000000" w:rsidRPr="00000000">
        <w:rPr>
          <w:rtl w:val="0"/>
        </w:rPr>
        <w:t xml:space="preserve">A helpful collation of FOAMed/Emergency Medicine open source resources: </w:t>
      </w:r>
      <w:hyperlink r:id="rId7">
        <w:r w:rsidDel="00000000" w:rsidR="00000000" w:rsidRPr="00000000">
          <w:rPr>
            <w:color w:val="1155cc"/>
            <w:u w:val="single"/>
            <w:rtl w:val="0"/>
          </w:rPr>
          <w:t xml:space="preserve">https://www.nuemblog.com/resources</w:t>
        </w:r>
      </w:hyperlink>
      <w:r w:rsidDel="00000000" w:rsidR="00000000" w:rsidRPr="00000000">
        <w:rPr>
          <w:rtl w:val="0"/>
        </w:rPr>
        <w:t xml:space="preserve"> </w:t>
      </w:r>
    </w:p>
    <w:p w:rsidR="00000000" w:rsidDel="00000000" w:rsidP="00000000" w:rsidRDefault="00000000" w:rsidRPr="00000000" w14:paraId="0000001E">
      <w:pPr>
        <w:numPr>
          <w:ilvl w:val="0"/>
          <w:numId w:val="4"/>
        </w:numPr>
        <w:spacing w:after="0" w:afterAutospacing="0" w:before="0" w:beforeAutospacing="0" w:lineRule="auto"/>
        <w:ind w:left="720" w:hanging="360"/>
      </w:pPr>
      <w:r w:rsidDel="00000000" w:rsidR="00000000" w:rsidRPr="00000000">
        <w:rPr>
          <w:rtl w:val="0"/>
        </w:rPr>
        <w:t xml:space="preserve">Helpful websites for SIM planning</w:t>
      </w:r>
    </w:p>
    <w:p w:rsidR="00000000" w:rsidDel="00000000" w:rsidP="00000000" w:rsidRDefault="00000000" w:rsidRPr="00000000" w14:paraId="0000001F">
      <w:pPr>
        <w:numPr>
          <w:ilvl w:val="1"/>
          <w:numId w:val="4"/>
        </w:numPr>
        <w:spacing w:after="0" w:afterAutospacing="0" w:before="0" w:beforeAutospacing="0" w:lineRule="auto"/>
        <w:ind w:left="1440" w:hanging="360"/>
      </w:pPr>
      <w:hyperlink r:id="rId8">
        <w:r w:rsidDel="00000000" w:rsidR="00000000" w:rsidRPr="00000000">
          <w:rPr>
            <w:color w:val="009384"/>
            <w:u w:val="single"/>
            <w:rtl w:val="0"/>
          </w:rPr>
          <w:t xml:space="preserve">https://emsimcases.com/</w:t>
        </w:r>
      </w:hyperlink>
      <w:r w:rsidDel="00000000" w:rsidR="00000000" w:rsidRPr="00000000">
        <w:rPr>
          <w:rtl w:val="0"/>
        </w:rPr>
        <w:t xml:space="preserve"> </w:t>
      </w:r>
    </w:p>
    <w:p w:rsidR="00000000" w:rsidDel="00000000" w:rsidP="00000000" w:rsidRDefault="00000000" w:rsidRPr="00000000" w14:paraId="00000020">
      <w:pPr>
        <w:widowControl w:val="0"/>
        <w:numPr>
          <w:ilvl w:val="1"/>
          <w:numId w:val="4"/>
        </w:numPr>
        <w:spacing w:after="0" w:afterAutospacing="0" w:before="0" w:beforeAutospacing="0" w:lineRule="auto"/>
        <w:ind w:left="1440" w:hanging="360"/>
      </w:pPr>
      <w:hyperlink r:id="rId9">
        <w:r w:rsidDel="00000000" w:rsidR="00000000" w:rsidRPr="00000000">
          <w:rPr>
            <w:color w:val="009384"/>
            <w:u w:val="single"/>
            <w:rtl w:val="0"/>
          </w:rPr>
          <w:t xml:space="preserve">https://www.acep.org/tox/sim-cases.html</w:t>
        </w:r>
      </w:hyperlink>
      <w:r w:rsidDel="00000000" w:rsidR="00000000" w:rsidRPr="00000000">
        <w:rPr>
          <w:rtl w:val="0"/>
        </w:rPr>
      </w:r>
    </w:p>
    <w:p w:rsidR="00000000" w:rsidDel="00000000" w:rsidP="00000000" w:rsidRDefault="00000000" w:rsidRPr="00000000" w14:paraId="00000021">
      <w:pPr>
        <w:widowControl w:val="0"/>
        <w:numPr>
          <w:ilvl w:val="1"/>
          <w:numId w:val="4"/>
        </w:numPr>
        <w:spacing w:after="240" w:before="0" w:beforeAutospacing="0" w:lineRule="auto"/>
        <w:ind w:left="1440" w:hanging="360"/>
      </w:pPr>
      <w:hyperlink r:id="rId10">
        <w:r w:rsidDel="00000000" w:rsidR="00000000" w:rsidRPr="00000000">
          <w:rPr>
            <w:color w:val="009384"/>
            <w:u w:val="single"/>
            <w:rtl w:val="0"/>
          </w:rPr>
          <w:t xml:space="preserve">https://www.healthysimulation.com/780/emergency-medicine-sim-case-library/</w:t>
        </w:r>
      </w:hyperlink>
      <w:r w:rsidDel="00000000" w:rsidR="00000000" w:rsidRPr="00000000">
        <w:rPr>
          <w:rtl w:val="0"/>
        </w:rPr>
        <w:t xml:space="preserve"> </w:t>
      </w:r>
    </w:p>
    <w:p w:rsidR="00000000" w:rsidDel="00000000" w:rsidP="00000000" w:rsidRDefault="00000000" w:rsidRPr="00000000" w14:paraId="00000022">
      <w:pPr>
        <w:spacing w:after="240" w:before="240" w:lineRule="auto"/>
        <w:rPr>
          <w:b w:val="1"/>
        </w:rPr>
      </w:pPr>
      <w:r w:rsidDel="00000000" w:rsidR="00000000" w:rsidRPr="00000000">
        <w:rPr>
          <w:b w:val="1"/>
          <w:rtl w:val="0"/>
        </w:rPr>
        <w:t xml:space="preserve">References</w:t>
      </w:r>
    </w:p>
    <w:p w:rsidR="00000000" w:rsidDel="00000000" w:rsidP="00000000" w:rsidRDefault="00000000" w:rsidRPr="00000000" w14:paraId="00000023">
      <w:pPr>
        <w:widowControl w:val="0"/>
        <w:numPr>
          <w:ilvl w:val="0"/>
          <w:numId w:val="3"/>
        </w:numPr>
        <w:spacing w:after="0" w:afterAutospacing="0" w:before="240" w:lineRule="auto"/>
        <w:ind w:left="720" w:hanging="360"/>
      </w:pPr>
      <w:r w:rsidDel="00000000" w:rsidR="00000000" w:rsidRPr="00000000">
        <w:rPr>
          <w:rtl w:val="0"/>
        </w:rPr>
        <w:t xml:space="preserve">Denson K, Manzi G, Crowe C, Rehm J. TBL: navigating delirium, polypharmacy and home care services with an elderly emergency department patient. MedEdPORTAL. 2013. Available at: </w:t>
      </w:r>
      <w:hyperlink r:id="rId11">
        <w:r w:rsidDel="00000000" w:rsidR="00000000" w:rsidRPr="00000000">
          <w:rPr>
            <w:color w:val="1155cc"/>
            <w:u w:val="single"/>
            <w:rtl w:val="0"/>
          </w:rPr>
          <w:t xml:space="preserve">www.mededportal.org/publication/9599</w:t>
        </w:r>
      </w:hyperlink>
      <w:r w:rsidDel="00000000" w:rsidR="00000000" w:rsidRPr="00000000">
        <w:rPr>
          <w:rtl w:val="0"/>
        </w:rPr>
        <w:t xml:space="preserve">  </w:t>
      </w:r>
    </w:p>
    <w:p w:rsidR="00000000" w:rsidDel="00000000" w:rsidP="00000000" w:rsidRDefault="00000000" w:rsidRPr="00000000" w14:paraId="00000024">
      <w:pPr>
        <w:numPr>
          <w:ilvl w:val="0"/>
          <w:numId w:val="3"/>
        </w:numPr>
        <w:spacing w:after="0" w:afterAutospacing="0"/>
        <w:ind w:left="720" w:hanging="360"/>
      </w:pPr>
      <w:r w:rsidDel="00000000" w:rsidR="00000000" w:rsidRPr="00000000">
        <w:rPr>
          <w:highlight w:val="white"/>
          <w:rtl w:val="0"/>
        </w:rPr>
        <w:t xml:space="preserve">King AM, Mayer C, Barrie M, Greenberger S, Way DP. Replacing Lectures with Small Groups: The Impact of Flipping the Residency Conference Day. </w:t>
      </w:r>
      <w:r w:rsidDel="00000000" w:rsidR="00000000" w:rsidRPr="00000000">
        <w:rPr>
          <w:i w:val="1"/>
          <w:highlight w:val="white"/>
          <w:rtl w:val="0"/>
        </w:rPr>
        <w:t xml:space="preserve">West J Emerg Med</w:t>
      </w:r>
      <w:r w:rsidDel="00000000" w:rsidR="00000000" w:rsidRPr="00000000">
        <w:rPr>
          <w:highlight w:val="white"/>
          <w:rtl w:val="0"/>
        </w:rPr>
        <w:t xml:space="preserve">. 2018;19(1):11-17. doi:10.5811/westjem.2017.10.35235 </w:t>
      </w:r>
      <w:hyperlink r:id="rId12">
        <w:r w:rsidDel="00000000" w:rsidR="00000000" w:rsidRPr="00000000">
          <w:rPr>
            <w:highlight w:val="white"/>
            <w:u w:val="single"/>
            <w:rtl w:val="0"/>
          </w:rPr>
          <w:t xml:space="preserve">https://www.ncbi.nlm.nih.gov/pmc/articles/PMC5785176/</w:t>
        </w:r>
      </w:hyperlink>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25">
      <w:pPr>
        <w:widowControl w:val="0"/>
        <w:numPr>
          <w:ilvl w:val="0"/>
          <w:numId w:val="3"/>
        </w:numPr>
        <w:spacing w:after="0" w:afterAutospacing="0" w:before="0" w:beforeAutospacing="0" w:lineRule="auto"/>
        <w:ind w:left="720" w:hanging="360"/>
      </w:pPr>
      <w:r w:rsidDel="00000000" w:rsidR="00000000" w:rsidRPr="00000000">
        <w:rPr>
          <w:rtl w:val="0"/>
        </w:rPr>
        <w:t xml:space="preserve">Koestler J, Waite E, Chietero M, et al. Problem-based learning (PBL): abdominal pain in a pregnant woman. MedEdPORTAL. 2009. Available at: </w:t>
      </w:r>
      <w:hyperlink r:id="rId13">
        <w:r w:rsidDel="00000000" w:rsidR="00000000" w:rsidRPr="00000000">
          <w:rPr>
            <w:color w:val="1155cc"/>
            <w:u w:val="single"/>
            <w:rtl w:val="0"/>
          </w:rPr>
          <w:t xml:space="preserve">www.mededportal.org/publication/517</w:t>
        </w:r>
      </w:hyperlink>
      <w:r w:rsidDel="00000000" w:rsidR="00000000" w:rsidRPr="00000000">
        <w:rPr>
          <w:rtl w:val="0"/>
        </w:rPr>
        <w:t xml:space="preserve"> </w:t>
      </w:r>
    </w:p>
    <w:p w:rsidR="00000000" w:rsidDel="00000000" w:rsidP="00000000" w:rsidRDefault="00000000" w:rsidRPr="00000000" w14:paraId="00000026">
      <w:pPr>
        <w:widowControl w:val="0"/>
        <w:numPr>
          <w:ilvl w:val="0"/>
          <w:numId w:val="3"/>
        </w:numPr>
        <w:spacing w:after="0" w:afterAutospacing="0" w:before="0" w:beforeAutospacing="0" w:lineRule="auto"/>
        <w:ind w:left="720" w:hanging="360"/>
      </w:pPr>
      <w:r w:rsidDel="00000000" w:rsidR="00000000" w:rsidRPr="00000000">
        <w:rPr>
          <w:color w:val="303030"/>
          <w:highlight w:val="white"/>
          <w:rtl w:val="0"/>
        </w:rPr>
        <w:t xml:space="preserve">Moraros J, Islam A, Yu S, Banow R, Schindelka B. Flipping for success: evaluating the effectiveness of a novel teaching approach in a graduate level setting. </w:t>
      </w:r>
      <w:r w:rsidDel="00000000" w:rsidR="00000000" w:rsidRPr="00000000">
        <w:rPr>
          <w:i w:val="1"/>
          <w:color w:val="303030"/>
          <w:rtl w:val="0"/>
        </w:rPr>
        <w:t xml:space="preserve">BMC Med Educ. 2015 Feb 28; 15():27.</w:t>
      </w:r>
      <w:hyperlink r:id="rId14">
        <w:r w:rsidDel="00000000" w:rsidR="00000000" w:rsidRPr="00000000">
          <w:rPr>
            <w:i w:val="1"/>
            <w:color w:val="303030"/>
            <w:rtl w:val="0"/>
          </w:rPr>
          <w:t xml:space="preserve"> </w:t>
        </w:r>
      </w:hyperlink>
      <w:hyperlink r:id="rId15">
        <w:r w:rsidDel="00000000" w:rsidR="00000000" w:rsidRPr="00000000">
          <w:rPr>
            <w:color w:val="009384"/>
            <w:u w:val="single"/>
            <w:rtl w:val="0"/>
          </w:rPr>
          <w:t xml:space="preserve">https://www.ncbi.nlm.nih.gov/pmc/articles/PMC4363198/</w:t>
        </w:r>
      </w:hyperlink>
      <w:r w:rsidDel="00000000" w:rsidR="00000000" w:rsidRPr="00000000">
        <w:rPr>
          <w:rtl w:val="0"/>
        </w:rPr>
      </w:r>
    </w:p>
    <w:p w:rsidR="00000000" w:rsidDel="00000000" w:rsidP="00000000" w:rsidRDefault="00000000" w:rsidRPr="00000000" w14:paraId="00000027">
      <w:pPr>
        <w:widowControl w:val="0"/>
        <w:numPr>
          <w:ilvl w:val="0"/>
          <w:numId w:val="3"/>
        </w:numPr>
        <w:spacing w:after="0" w:afterAutospacing="0" w:before="0" w:beforeAutospacing="0" w:lineRule="auto"/>
        <w:ind w:left="720" w:hanging="360"/>
      </w:pPr>
      <w:r w:rsidDel="00000000" w:rsidR="00000000" w:rsidRPr="00000000">
        <w:rPr>
          <w:color w:val="333333"/>
          <w:highlight w:val="white"/>
          <w:rtl w:val="0"/>
        </w:rPr>
        <w:t xml:space="preserve">Wolff, Margaret et al. Not Another Boring Lecture: Engaging Learners with Active Learning Techniques. Journal of Emergency Medicine, Volume 48, Issue 1, 85 - 93</w:t>
      </w:r>
    </w:p>
    <w:p w:rsidR="00000000" w:rsidDel="00000000" w:rsidP="00000000" w:rsidRDefault="00000000" w:rsidRPr="00000000" w14:paraId="00000028">
      <w:pPr>
        <w:widowControl w:val="0"/>
        <w:numPr>
          <w:ilvl w:val="0"/>
          <w:numId w:val="3"/>
        </w:numPr>
        <w:spacing w:after="240" w:before="0" w:beforeAutospacing="0" w:lineRule="auto"/>
        <w:ind w:left="720" w:hanging="360"/>
      </w:pPr>
      <w:r w:rsidDel="00000000" w:rsidR="00000000" w:rsidRPr="00000000">
        <w:rPr>
          <w:rtl w:val="0"/>
        </w:rPr>
        <w:t xml:space="preserve">Wolff M, Pomeranz E, Carney M. Febrile young infant learning module. MedEdPORTAL. 2013. Available at: </w:t>
      </w:r>
      <w:hyperlink r:id="rId16">
        <w:r w:rsidDel="00000000" w:rsidR="00000000" w:rsidRPr="00000000">
          <w:rPr>
            <w:color w:val="1155cc"/>
            <w:u w:val="single"/>
            <w:rtl w:val="0"/>
          </w:rPr>
          <w:t xml:space="preserve">www.mededportal.org/publication/9568</w:t>
        </w:r>
      </w:hyperlink>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right"/>
      <w:pPr>
        <w:ind w:left="720" w:hanging="360"/>
      </w:pPr>
      <w:rPr>
        <w:rFonts w:ascii="Roboto" w:cs="Roboto" w:eastAsia="Roboto" w:hAnsi="Roboto"/>
        <w:b w:val="0"/>
        <w:i w:val="0"/>
        <w:smallCaps w:val="0"/>
        <w:strike w:val="0"/>
        <w:color w:val="666666"/>
        <w:sz w:val="26"/>
        <w:szCs w:val="26"/>
        <w:u w:val="none"/>
        <w:shd w:fill="auto" w:val="clear"/>
        <w:vertAlign w:val="baseline"/>
      </w:rPr>
    </w:lvl>
    <w:lvl w:ilvl="1">
      <w:start w:val="1"/>
      <w:numFmt w:val="bullet"/>
      <w:lvlText w:val="-"/>
      <w:lvlJc w:val="right"/>
      <w:pPr>
        <w:ind w:left="1440" w:hanging="360"/>
      </w:pPr>
      <w:rPr>
        <w:rFonts w:ascii="Roboto" w:cs="Roboto" w:eastAsia="Roboto" w:hAnsi="Roboto"/>
        <w:b w:val="0"/>
        <w:i w:val="0"/>
        <w:smallCaps w:val="0"/>
        <w:strike w:val="0"/>
        <w:color w:val="666666"/>
        <w:sz w:val="22"/>
        <w:szCs w:val="22"/>
        <w:u w:val="none"/>
        <w:shd w:fill="auto" w:val="clear"/>
        <w:vertAlign w:val="baseline"/>
      </w:rPr>
    </w:lvl>
    <w:lvl w:ilvl="2">
      <w:start w:val="1"/>
      <w:numFmt w:val="bullet"/>
      <w:lvlText w:val="-"/>
      <w:lvlJc w:val="right"/>
      <w:pPr>
        <w:ind w:left="2160" w:hanging="360"/>
      </w:pPr>
      <w:rPr>
        <w:rFonts w:ascii="Roboto" w:cs="Roboto" w:eastAsia="Roboto" w:hAnsi="Roboto"/>
        <w:b w:val="0"/>
        <w:i w:val="0"/>
        <w:smallCaps w:val="0"/>
        <w:strike w:val="0"/>
        <w:color w:val="666666"/>
        <w:sz w:val="22"/>
        <w:szCs w:val="22"/>
        <w:u w:val="none"/>
        <w:shd w:fill="auto" w:val="clear"/>
        <w:vertAlign w:val="baseline"/>
      </w:rPr>
    </w:lvl>
    <w:lvl w:ilvl="3">
      <w:start w:val="1"/>
      <w:numFmt w:val="bullet"/>
      <w:lvlText w:val="-"/>
      <w:lvlJc w:val="right"/>
      <w:pPr>
        <w:ind w:left="2880" w:hanging="360"/>
      </w:pPr>
      <w:rPr>
        <w:rFonts w:ascii="Roboto" w:cs="Roboto" w:eastAsia="Roboto" w:hAnsi="Roboto"/>
        <w:b w:val="0"/>
        <w:i w:val="0"/>
        <w:smallCaps w:val="0"/>
        <w:strike w:val="0"/>
        <w:color w:val="666666"/>
        <w:sz w:val="22"/>
        <w:szCs w:val="22"/>
        <w:u w:val="none"/>
        <w:shd w:fill="auto" w:val="clear"/>
        <w:vertAlign w:val="baseline"/>
      </w:rPr>
    </w:lvl>
    <w:lvl w:ilvl="4">
      <w:start w:val="1"/>
      <w:numFmt w:val="bullet"/>
      <w:lvlText w:val="-"/>
      <w:lvlJc w:val="right"/>
      <w:pPr>
        <w:ind w:left="3600" w:hanging="360"/>
      </w:pPr>
      <w:rPr>
        <w:rFonts w:ascii="Roboto" w:cs="Roboto" w:eastAsia="Roboto" w:hAnsi="Roboto"/>
        <w:b w:val="0"/>
        <w:i w:val="0"/>
        <w:smallCaps w:val="0"/>
        <w:strike w:val="0"/>
        <w:color w:val="666666"/>
        <w:sz w:val="22"/>
        <w:szCs w:val="22"/>
        <w:u w:val="none"/>
        <w:shd w:fill="auto" w:val="clear"/>
        <w:vertAlign w:val="baseline"/>
      </w:rPr>
    </w:lvl>
    <w:lvl w:ilvl="5">
      <w:start w:val="1"/>
      <w:numFmt w:val="bullet"/>
      <w:lvlText w:val="-"/>
      <w:lvlJc w:val="right"/>
      <w:pPr>
        <w:ind w:left="4320" w:hanging="360"/>
      </w:pPr>
      <w:rPr>
        <w:rFonts w:ascii="Roboto" w:cs="Roboto" w:eastAsia="Roboto" w:hAnsi="Roboto"/>
        <w:b w:val="0"/>
        <w:i w:val="0"/>
        <w:smallCaps w:val="0"/>
        <w:strike w:val="0"/>
        <w:color w:val="666666"/>
        <w:sz w:val="22"/>
        <w:szCs w:val="22"/>
        <w:u w:val="none"/>
        <w:shd w:fill="auto" w:val="clear"/>
        <w:vertAlign w:val="baseline"/>
      </w:rPr>
    </w:lvl>
    <w:lvl w:ilvl="6">
      <w:start w:val="1"/>
      <w:numFmt w:val="bullet"/>
      <w:lvlText w:val="-"/>
      <w:lvlJc w:val="right"/>
      <w:pPr>
        <w:ind w:left="5040" w:hanging="360"/>
      </w:pPr>
      <w:rPr>
        <w:rFonts w:ascii="Roboto" w:cs="Roboto" w:eastAsia="Roboto" w:hAnsi="Roboto"/>
        <w:b w:val="0"/>
        <w:i w:val="0"/>
        <w:smallCaps w:val="0"/>
        <w:strike w:val="0"/>
        <w:color w:val="666666"/>
        <w:sz w:val="22"/>
        <w:szCs w:val="22"/>
        <w:u w:val="none"/>
        <w:shd w:fill="auto" w:val="clear"/>
        <w:vertAlign w:val="baseline"/>
      </w:rPr>
    </w:lvl>
    <w:lvl w:ilvl="7">
      <w:start w:val="1"/>
      <w:numFmt w:val="bullet"/>
      <w:lvlText w:val="-"/>
      <w:lvlJc w:val="right"/>
      <w:pPr>
        <w:ind w:left="5760" w:hanging="360"/>
      </w:pPr>
      <w:rPr>
        <w:rFonts w:ascii="Roboto" w:cs="Roboto" w:eastAsia="Roboto" w:hAnsi="Roboto"/>
        <w:b w:val="0"/>
        <w:i w:val="0"/>
        <w:smallCaps w:val="0"/>
        <w:strike w:val="0"/>
        <w:color w:val="666666"/>
        <w:sz w:val="22"/>
        <w:szCs w:val="22"/>
        <w:u w:val="none"/>
        <w:shd w:fill="auto" w:val="clear"/>
        <w:vertAlign w:val="baseline"/>
      </w:rPr>
    </w:lvl>
    <w:lvl w:ilvl="8">
      <w:start w:val="1"/>
      <w:numFmt w:val="bullet"/>
      <w:lvlText w:val="-"/>
      <w:lvlJc w:val="right"/>
      <w:pPr>
        <w:ind w:left="6480" w:hanging="360"/>
      </w:pPr>
      <w:rPr>
        <w:rFonts w:ascii="Roboto" w:cs="Roboto" w:eastAsia="Roboto" w:hAnsi="Roboto"/>
        <w:b w:val="0"/>
        <w:i w:val="0"/>
        <w:smallCaps w:val="0"/>
        <w:strike w:val="0"/>
        <w:color w:val="666666"/>
        <w:sz w:val="22"/>
        <w:szCs w:val="22"/>
        <w:u w:val="none"/>
        <w:shd w:fill="auto" w:val="clear"/>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mededportal.org/publication/9599" TargetMode="External"/><Relationship Id="rId10" Type="http://schemas.openxmlformats.org/officeDocument/2006/relationships/hyperlink" Target="https://www.healthysimulation.com/780/emergency-medicine-sim-case-library/" TargetMode="External"/><Relationship Id="rId13" Type="http://schemas.openxmlformats.org/officeDocument/2006/relationships/hyperlink" Target="http://www.mededportal.org/publication/517" TargetMode="External"/><Relationship Id="rId12" Type="http://schemas.openxmlformats.org/officeDocument/2006/relationships/hyperlink" Target="https://www.ncbi.nlm.nih.gov/pmc/articles/PMC578517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cep.org/tox/sim-cases.html" TargetMode="External"/><Relationship Id="rId15" Type="http://schemas.openxmlformats.org/officeDocument/2006/relationships/hyperlink" Target="https://www.ncbi.nlm.nih.gov/pmc/articles/PMC4363198/" TargetMode="External"/><Relationship Id="rId14" Type="http://schemas.openxmlformats.org/officeDocument/2006/relationships/hyperlink" Target="https://www.ncbi.nlm.nih.gov/pmc/articles/PMC4363198/" TargetMode="External"/><Relationship Id="rId16" Type="http://schemas.openxmlformats.org/officeDocument/2006/relationships/hyperlink" Target="http://www.mededportal.org/publication/9568" TargetMode="External"/><Relationship Id="rId5" Type="http://schemas.openxmlformats.org/officeDocument/2006/relationships/styles" Target="styles.xml"/><Relationship Id="rId6" Type="http://schemas.openxmlformats.org/officeDocument/2006/relationships/hyperlink" Target="https://www.polleverywhere.com" TargetMode="External"/><Relationship Id="rId7" Type="http://schemas.openxmlformats.org/officeDocument/2006/relationships/hyperlink" Target="https://www.nuemblog.com/resources" TargetMode="External"/><Relationship Id="rId8" Type="http://schemas.openxmlformats.org/officeDocument/2006/relationships/hyperlink" Target="https://emsimcase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