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A7DB2" w:rsidRDefault="00F550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Pediatric Fractures</w:t>
      </w:r>
    </w:p>
    <w:p w14:paraId="00000002" w14:textId="77777777" w:rsidR="00EA7DB2" w:rsidRDefault="00F550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Instructor Guide</w:t>
      </w:r>
    </w:p>
    <w:p w14:paraId="00000003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04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BACKGROUND:</w:t>
      </w:r>
      <w:r>
        <w:rPr>
          <w:rFonts w:ascii="Times New Roman" w:eastAsia="Times New Roman" w:hAnsi="Times New Roman" w:cs="Times New Roman"/>
        </w:rPr>
        <w:t xml:space="preserve"> Emergency physicians frequently see pediatric patients with fractures. Not all pediatric fractures are the same, and it is important to understand the (often subtle) differences </w:t>
      </w:r>
      <w:proofErr w:type="gramStart"/>
      <w:r>
        <w:rPr>
          <w:rFonts w:ascii="Times New Roman" w:eastAsia="Times New Roman" w:hAnsi="Times New Roman" w:cs="Times New Roman"/>
        </w:rPr>
        <w:t>in order to</w:t>
      </w:r>
      <w:proofErr w:type="gramEnd"/>
      <w:r>
        <w:rPr>
          <w:rFonts w:ascii="Times New Roman" w:eastAsia="Times New Roman" w:hAnsi="Times New Roman" w:cs="Times New Roman"/>
        </w:rPr>
        <w:t xml:space="preserve"> recognize the proper emergency department intervention and determ</w:t>
      </w:r>
      <w:r>
        <w:rPr>
          <w:rFonts w:ascii="Times New Roman" w:eastAsia="Times New Roman" w:hAnsi="Times New Roman" w:cs="Times New Roman"/>
        </w:rPr>
        <w:t>ine the best disposition for the child.</w:t>
      </w:r>
    </w:p>
    <w:p w14:paraId="00000005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06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addition, emergency physicians are uniquely poised to perform medical coverage for events and athletic teams, including youth athletic competitions. As such, they may see a patient in the field, rather than in th</w:t>
      </w:r>
      <w:r>
        <w:rPr>
          <w:rFonts w:ascii="Times New Roman" w:eastAsia="Times New Roman" w:hAnsi="Times New Roman" w:cs="Times New Roman"/>
        </w:rPr>
        <w:t>e more familiar hospital setting. This provides an opportunity to encounter pathology, some of which rarely arrives in the ED.</w:t>
      </w:r>
    </w:p>
    <w:p w14:paraId="00000007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08" w14:textId="1EF9049F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PURPOSE &amp; GOALS:</w:t>
      </w:r>
      <w:r>
        <w:rPr>
          <w:rFonts w:ascii="Times New Roman" w:eastAsia="Times New Roman" w:hAnsi="Times New Roman" w:cs="Times New Roman"/>
        </w:rPr>
        <w:t xml:space="preserve"> In this module</w:t>
      </w:r>
      <w:r>
        <w:rPr>
          <w:rFonts w:ascii="Times New Roman" w:eastAsia="Times New Roman" w:hAnsi="Times New Roman" w:cs="Times New Roman"/>
        </w:rPr>
        <w:t xml:space="preserve"> the goal is to cover</w:t>
      </w:r>
      <w:r>
        <w:rPr>
          <w:rFonts w:ascii="Times New Roman" w:eastAsia="Times New Roman" w:hAnsi="Times New Roman" w:cs="Times New Roman"/>
        </w:rPr>
        <w:t xml:space="preserve"> common</w:t>
      </w:r>
      <w:r w:rsidR="002806EC">
        <w:rPr>
          <w:rFonts w:ascii="Times New Roman" w:eastAsia="Times New Roman" w:hAnsi="Times New Roman" w:cs="Times New Roman"/>
        </w:rPr>
        <w:t xml:space="preserve"> types of</w:t>
      </w:r>
      <w:r>
        <w:rPr>
          <w:rFonts w:ascii="Times New Roman" w:eastAsia="Times New Roman" w:hAnsi="Times New Roman" w:cs="Times New Roman"/>
        </w:rPr>
        <w:t xml:space="preserve"> fractures</w:t>
      </w:r>
      <w:r w:rsidR="002806EC">
        <w:rPr>
          <w:rFonts w:ascii="Times New Roman" w:eastAsia="Times New Roman" w:hAnsi="Times New Roman" w:cs="Times New Roman"/>
        </w:rPr>
        <w:t xml:space="preserve"> unique to </w:t>
      </w:r>
      <w:proofErr w:type="gramStart"/>
      <w:r w:rsidR="002806EC">
        <w:rPr>
          <w:rFonts w:ascii="Times New Roman" w:eastAsia="Times New Roman" w:hAnsi="Times New Roman" w:cs="Times New Roman"/>
        </w:rPr>
        <w:t>skeletally-immature</w:t>
      </w:r>
      <w:proofErr w:type="gramEnd"/>
      <w:r w:rsidR="002806EC">
        <w:rPr>
          <w:rFonts w:ascii="Times New Roman" w:eastAsia="Times New Roman" w:hAnsi="Times New Roman" w:cs="Times New Roman"/>
        </w:rPr>
        <w:t xml:space="preserve"> patients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their initial treatment and ultimate disposition. Topics included are: </w:t>
      </w:r>
    </w:p>
    <w:p w14:paraId="0C949A07" w14:textId="3C326DC8" w:rsidR="002806EC" w:rsidRDefault="00280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Pediatric ossification patterns</w:t>
      </w:r>
    </w:p>
    <w:p w14:paraId="75AA5A69" w14:textId="4951646D" w:rsidR="002806EC" w:rsidRDefault="00280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Salter-Harris </w:t>
      </w:r>
      <w:r w:rsidR="00A365A4"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>ractures</w:t>
      </w:r>
    </w:p>
    <w:p w14:paraId="44478B96" w14:textId="22970F73" w:rsidR="002806EC" w:rsidRDefault="00280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Greenstick </w:t>
      </w:r>
      <w:r w:rsidR="00A365A4"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>ractures</w:t>
      </w:r>
    </w:p>
    <w:p w14:paraId="35703CED" w14:textId="51B2A593" w:rsidR="00A365A4" w:rsidRDefault="00A36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Torus (Buckle) fractures</w:t>
      </w:r>
    </w:p>
    <w:p w14:paraId="4D86DA1C" w14:textId="274E7B92" w:rsidR="00A365A4" w:rsidRPr="00A365A4" w:rsidRDefault="00A365A4" w:rsidP="00A36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Apophyseal avulsion fractures</w:t>
      </w:r>
    </w:p>
    <w:p w14:paraId="00000009" w14:textId="5233140A" w:rsidR="00EA7DB2" w:rsidRDefault="00F5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Mid-shaft clavicle fractures</w:t>
      </w:r>
    </w:p>
    <w:p w14:paraId="0000000A" w14:textId="77777777" w:rsidR="00EA7DB2" w:rsidRDefault="00F5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Supracondylar humerus fractures</w:t>
      </w:r>
    </w:p>
    <w:p w14:paraId="00000013" w14:textId="091C359C" w:rsidR="00EA7DB2" w:rsidRDefault="00F55010" w:rsidP="00A36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Tibial tubercle</w:t>
      </w:r>
    </w:p>
    <w:p w14:paraId="1A41578C" w14:textId="77777777" w:rsidR="00A365A4" w:rsidRPr="00A365A4" w:rsidRDefault="00A365A4" w:rsidP="00A365A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EA7DB2" w:rsidRDefault="00F550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EDUCATIONAL OBJECTIVES:</w:t>
      </w:r>
    </w:p>
    <w:p w14:paraId="00000019" w14:textId="234EC85D" w:rsidR="00EA7DB2" w:rsidRDefault="009448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List the age of the primary ossification centers in the elbow</w:t>
      </w:r>
    </w:p>
    <w:p w14:paraId="20695EF8" w14:textId="3C3FFB55" w:rsidR="00944844" w:rsidRDefault="009448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 the common pediatric fracture patterns</w:t>
      </w:r>
    </w:p>
    <w:p w14:paraId="7D99BA40" w14:textId="4D9DECC8" w:rsidR="00944844" w:rsidRDefault="009448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Describe the treatment of fractures in the pediatric population</w:t>
      </w:r>
    </w:p>
    <w:p w14:paraId="3E919A7C" w14:textId="02319AFE" w:rsidR="00944844" w:rsidRDefault="009448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 the common complications of pediatric fracture patterns</w:t>
      </w:r>
    </w:p>
    <w:p w14:paraId="0000001A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1B" w14:textId="77777777" w:rsidR="00EA7DB2" w:rsidRDefault="00F550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RESOURCE FILES: </w:t>
      </w:r>
    </w:p>
    <w:p w14:paraId="0000001C" w14:textId="77777777" w:rsidR="00EA7DB2" w:rsidRDefault="00F5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PowerPoint Presentation </w:t>
      </w:r>
    </w:p>
    <w:p w14:paraId="0000001D" w14:textId="77777777" w:rsidR="00EA7DB2" w:rsidRDefault="00F5501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-This can be presented if a traditional didactics format is desired. This is best suited for a large group didactics format. It is intended to be an interactive presentation with prompts and talking points included in the “comments” box. </w:t>
      </w:r>
    </w:p>
    <w:p w14:paraId="0000001E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Interactive C</w:t>
      </w:r>
      <w:r>
        <w:rPr>
          <w:rFonts w:ascii="Times New Roman" w:eastAsia="Times New Roman" w:hAnsi="Times New Roman" w:cs="Times New Roman"/>
        </w:rPr>
        <w:t>ases</w:t>
      </w:r>
    </w:p>
    <w:p w14:paraId="0000001F" w14:textId="77777777" w:rsidR="00EA7DB2" w:rsidRDefault="00F5501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Working through these cases is an alternative format for presenting this material. This is better suited to a small group setting rather than a large lecture audience. </w:t>
      </w:r>
    </w:p>
    <w:p w14:paraId="00000020" w14:textId="77777777" w:rsidR="00EA7DB2" w:rsidRDefault="00F550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Summary Handout</w:t>
      </w:r>
    </w:p>
    <w:p w14:paraId="00000021" w14:textId="77777777" w:rsidR="00EA7DB2" w:rsidRDefault="00F550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-This document summarizes and condenses the critical information for the session. It is intended to be a resource for instructors and learners alike. It can be used as material for review prior to the session, reference material during the session, or as a</w:t>
      </w:r>
      <w:r>
        <w:rPr>
          <w:rFonts w:ascii="Times New Roman" w:eastAsia="Times New Roman" w:hAnsi="Times New Roman" w:cs="Times New Roman"/>
          <w:color w:val="000000"/>
        </w:rPr>
        <w:t xml:space="preserve"> resource for trainees to keep after the session.</w:t>
      </w:r>
    </w:p>
    <w:p w14:paraId="00000022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Pre/Post Quiz</w:t>
      </w:r>
    </w:p>
    <w:p w14:paraId="00000023" w14:textId="77777777" w:rsidR="00EA7DB2" w:rsidRDefault="00F5501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-These questions can be given before and after the session to track learning and to augment pre work. </w:t>
      </w:r>
    </w:p>
    <w:p w14:paraId="00000024" w14:textId="77777777" w:rsidR="00EA7DB2" w:rsidRDefault="00F5501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-Answers: 1: A, 2: C, 3: D, 4: A</w:t>
      </w:r>
    </w:p>
    <w:p w14:paraId="00000025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26" w14:textId="77777777" w:rsidR="00EA7DB2" w:rsidRDefault="00F550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TOTAL MODULE DURATION: </w:t>
      </w:r>
    </w:p>
    <w:p w14:paraId="00000027" w14:textId="77777777" w:rsidR="00EA7DB2" w:rsidRDefault="00F5501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Material can be presented t</w:t>
      </w:r>
      <w:r>
        <w:rPr>
          <w:rFonts w:ascii="Times New Roman" w:eastAsia="Times New Roman" w:hAnsi="Times New Roman" w:cs="Times New Roman"/>
        </w:rPr>
        <w:t>wo ways:</w:t>
      </w:r>
    </w:p>
    <w:p w14:paraId="00000028" w14:textId="77777777" w:rsidR="00EA7DB2" w:rsidRDefault="00F55010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-PowerPoint presentation (90 minutes)</w:t>
      </w:r>
    </w:p>
    <w:p w14:paraId="00000029" w14:textId="77777777" w:rsidR="00EA7DB2" w:rsidRDefault="00F55010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-Best suited for large lecture-style didactics</w:t>
      </w:r>
    </w:p>
    <w:p w14:paraId="0000002A" w14:textId="77777777" w:rsidR="00EA7DB2" w:rsidRDefault="00F55010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-Case discussion (60 minutes)</w:t>
      </w:r>
    </w:p>
    <w:p w14:paraId="0000002B" w14:textId="77777777" w:rsidR="00EA7DB2" w:rsidRDefault="00F55010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-Best suited for small group format</w:t>
      </w:r>
    </w:p>
    <w:p w14:paraId="0000002C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2D" w14:textId="77777777" w:rsidR="00EA7DB2" w:rsidRDefault="00F550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REQUIRED RESOURCES: </w:t>
      </w:r>
    </w:p>
    <w:p w14:paraId="0000002E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-Virtual (remote platform such as Zoom, Teams, WebEx, Skype) or in-perso</w:t>
      </w:r>
      <w:r>
        <w:rPr>
          <w:rFonts w:ascii="Times New Roman" w:eastAsia="Times New Roman" w:hAnsi="Times New Roman" w:cs="Times New Roman"/>
        </w:rPr>
        <w:t xml:space="preserve">n (computer and projector) platform for presenting the electronic course material </w:t>
      </w:r>
    </w:p>
    <w:p w14:paraId="0000002F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-Method for distributing the pre/post quiz and the summary handout (print versus electronic)</w:t>
      </w:r>
    </w:p>
    <w:p w14:paraId="00000030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31" w14:textId="77777777" w:rsidR="00EA7DB2" w:rsidRDefault="00F550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DESCRIPTION OF MODULE: </w:t>
      </w:r>
    </w:p>
    <w:p w14:paraId="00000032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Intended Audience </w:t>
      </w:r>
    </w:p>
    <w:p w14:paraId="00000033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-This curriculum is best suited to a senior medical student or resident-level learner, although it would also be releva</w:t>
      </w:r>
      <w:r>
        <w:rPr>
          <w:rFonts w:ascii="Times New Roman" w:eastAsia="Times New Roman" w:hAnsi="Times New Roman" w:cs="Times New Roman"/>
        </w:rPr>
        <w:t>nt for a Primary Care Sports Medicine fellow.</w:t>
      </w:r>
    </w:p>
    <w:p w14:paraId="00000034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35" w14:textId="77777777" w:rsidR="00EA7DB2" w:rsidRDefault="00F5501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Pre-reading: </w:t>
      </w:r>
    </w:p>
    <w:p w14:paraId="00000036" w14:textId="77777777" w:rsidR="00EA7DB2" w:rsidRDefault="00F5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www.Orthobullets.com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(injury topics listed above)</w:t>
      </w:r>
    </w:p>
    <w:p w14:paraId="00000037" w14:textId="77777777" w:rsidR="00EA7DB2" w:rsidRDefault="00F5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</w:rPr>
        <w:t>Rang’s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Children’s Fractures, current edition, D.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Wenger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M.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(Eds.)</w:t>
      </w:r>
    </w:p>
    <w:p w14:paraId="00000038" w14:textId="77777777" w:rsidR="00EA7DB2" w:rsidRDefault="00EA7DB2">
      <w:pPr>
        <w:rPr>
          <w:rFonts w:ascii="Times New Roman" w:eastAsia="Times New Roman" w:hAnsi="Times New Roman" w:cs="Times New Roman"/>
        </w:rPr>
      </w:pPr>
    </w:p>
    <w:p w14:paraId="00000039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Recommended implementation/timeline </w:t>
      </w:r>
    </w:p>
    <w:p w14:paraId="0000003A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Pre-module</w:t>
      </w:r>
    </w:p>
    <w:p w14:paraId="0000003B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-learner should complete the pre-readings and take the pre-quiz</w:t>
      </w:r>
    </w:p>
    <w:p w14:paraId="0000003C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During the module </w:t>
      </w:r>
    </w:p>
    <w:p w14:paraId="0000003D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-The material can be delivered by one of t</w:t>
      </w:r>
      <w:r>
        <w:rPr>
          <w:rFonts w:ascii="Times New Roman" w:eastAsia="Times New Roman" w:hAnsi="Times New Roman" w:cs="Times New Roman"/>
        </w:rPr>
        <w:t>wo formats:</w:t>
      </w:r>
    </w:p>
    <w:p w14:paraId="0000003E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-interactive PowerPoint presentation</w:t>
      </w:r>
    </w:p>
    <w:p w14:paraId="0000003F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-best for larger audience</w:t>
      </w:r>
    </w:p>
    <w:p w14:paraId="00000040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-case-based discussion </w:t>
      </w:r>
    </w:p>
    <w:p w14:paraId="00000041" w14:textId="77777777" w:rsidR="00EA7DB2" w:rsidRDefault="00F55010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-best for groups of 4 or fewer learners per group</w:t>
      </w:r>
    </w:p>
    <w:p w14:paraId="00000042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-15-20 minutes per case</w:t>
      </w:r>
    </w:p>
    <w:p w14:paraId="00000043" w14:textId="77777777" w:rsidR="00EA7DB2" w:rsidRDefault="00F550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-at the conclusion of the session, learners should take the quiz again a</w:t>
      </w:r>
      <w:r>
        <w:rPr>
          <w:rFonts w:ascii="Times New Roman" w:eastAsia="Times New Roman" w:hAnsi="Times New Roman" w:cs="Times New Roman"/>
        </w:rPr>
        <w:t xml:space="preserve">nd be provided with </w:t>
      </w:r>
    </w:p>
    <w:p w14:paraId="00000044" w14:textId="77777777" w:rsidR="00EA7DB2" w:rsidRDefault="00F5501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summary handout in electronic or hard-copy format</w:t>
      </w:r>
    </w:p>
    <w:p w14:paraId="00000045" w14:textId="77777777" w:rsidR="00EA7DB2" w:rsidRDefault="00EA7DB2"/>
    <w:sectPr w:rsidR="00EA7DB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7465B" w14:textId="77777777" w:rsidR="00F55010" w:rsidRDefault="00F55010">
      <w:r>
        <w:separator/>
      </w:r>
    </w:p>
  </w:endnote>
  <w:endnote w:type="continuationSeparator" w:id="0">
    <w:p w14:paraId="0F0AE291" w14:textId="77777777" w:rsidR="00F55010" w:rsidRDefault="00F5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8" w14:textId="77777777" w:rsidR="00EA7DB2" w:rsidRDefault="00F550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Cambria"/>
        <w:color w:val="000000"/>
      </w:rPr>
    </w:pPr>
    <w:r>
      <w:rPr>
        <w:rFonts w:eastAsia="Cambria"/>
        <w:color w:val="000000"/>
      </w:rPr>
      <w:fldChar w:fldCharType="begin"/>
    </w:r>
    <w:r>
      <w:rPr>
        <w:rFonts w:eastAsia="Cambria"/>
        <w:color w:val="000000"/>
      </w:rPr>
      <w:instrText>PAGE</w:instrText>
    </w:r>
    <w:r>
      <w:rPr>
        <w:rFonts w:eastAsia="Cambria"/>
        <w:color w:val="000000"/>
      </w:rPr>
      <w:fldChar w:fldCharType="separate"/>
    </w:r>
    <w:r>
      <w:rPr>
        <w:rFonts w:eastAsia="Cambria"/>
        <w:color w:val="000000"/>
      </w:rPr>
      <w:fldChar w:fldCharType="end"/>
    </w:r>
  </w:p>
  <w:p w14:paraId="00000049" w14:textId="77777777" w:rsidR="00EA7DB2" w:rsidRDefault="00EA7D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6" w14:textId="2BDBE7F0" w:rsidR="00EA7DB2" w:rsidRDefault="00F550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Cambria"/>
        <w:color w:val="000000"/>
      </w:rPr>
    </w:pPr>
    <w:r>
      <w:rPr>
        <w:rFonts w:eastAsia="Cambria"/>
        <w:color w:val="000000"/>
      </w:rPr>
      <w:fldChar w:fldCharType="begin"/>
    </w:r>
    <w:r>
      <w:rPr>
        <w:rFonts w:eastAsia="Cambria"/>
        <w:color w:val="000000"/>
      </w:rPr>
      <w:instrText>PAGE</w:instrText>
    </w:r>
    <w:r>
      <w:rPr>
        <w:rFonts w:eastAsia="Cambria"/>
        <w:color w:val="000000"/>
      </w:rPr>
      <w:fldChar w:fldCharType="separate"/>
    </w:r>
    <w:r w:rsidR="002806EC">
      <w:rPr>
        <w:rFonts w:eastAsia="Cambria"/>
        <w:noProof/>
        <w:color w:val="000000"/>
      </w:rPr>
      <w:t>1</w:t>
    </w:r>
    <w:r>
      <w:rPr>
        <w:rFonts w:eastAsia="Cambria"/>
        <w:color w:val="000000"/>
      </w:rPr>
      <w:fldChar w:fldCharType="end"/>
    </w:r>
  </w:p>
  <w:p w14:paraId="00000047" w14:textId="77777777" w:rsidR="00EA7DB2" w:rsidRDefault="00EA7D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382C6" w14:textId="77777777" w:rsidR="00F55010" w:rsidRDefault="00F55010">
      <w:r>
        <w:separator/>
      </w:r>
    </w:p>
  </w:footnote>
  <w:footnote w:type="continuationSeparator" w:id="0">
    <w:p w14:paraId="7A4FCABB" w14:textId="77777777" w:rsidR="00F55010" w:rsidRDefault="00F5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E1B4E"/>
    <w:multiLevelType w:val="multilevel"/>
    <w:tmpl w:val="78105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9125B"/>
    <w:multiLevelType w:val="multilevel"/>
    <w:tmpl w:val="B54CD1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21CD9"/>
    <w:multiLevelType w:val="multilevel"/>
    <w:tmpl w:val="C94C237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E83E72"/>
    <w:multiLevelType w:val="multilevel"/>
    <w:tmpl w:val="D8D4B8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B2"/>
    <w:rsid w:val="002806EC"/>
    <w:rsid w:val="00682EF1"/>
    <w:rsid w:val="00944844"/>
    <w:rsid w:val="00A365A4"/>
    <w:rsid w:val="00EA7DB2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36418"/>
  <w15:docId w15:val="{42A9C041-457C-FD4B-BBCF-C352082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76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1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E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7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FE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97CF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obulle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ZHKlZqljHQ4ecYuO4diY67d/gw==">AMUW2mWUqk+QSCBx7eTF3DKlxPufYS91Elc+HpukihNyvkSAWFjzgAdQRaGx4h6vAlanE+W9/KzL2rZV9Fn//dG7/66uW2jTGbNk8rwdEmIEvfk3fLuChG9zYWNvwPA9Z2iIoCMRX7cr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DeBuse</dc:creator>
  <cp:lastModifiedBy>Conner Dixon</cp:lastModifiedBy>
  <cp:revision>2</cp:revision>
  <dcterms:created xsi:type="dcterms:W3CDTF">2021-09-28T13:58:00Z</dcterms:created>
  <dcterms:modified xsi:type="dcterms:W3CDTF">2021-09-28T13:58:00Z</dcterms:modified>
</cp:coreProperties>
</file>